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五寨县</w:t>
      </w:r>
      <w:r>
        <w:rPr>
          <w:rFonts w:ascii="方正小标宋简体" w:eastAsia="方正小标宋简体" w:cs="方正小标宋简体"/>
          <w:sz w:val="44"/>
          <w:szCs w:val="44"/>
        </w:rPr>
        <w:t>人民</w:t>
      </w:r>
      <w:r>
        <w:rPr>
          <w:rFonts w:hint="eastAsia" w:ascii="方正小标宋简体" w:eastAsia="方正小标宋简体" w:cs="方正小标宋简体"/>
          <w:sz w:val="44"/>
          <w:szCs w:val="44"/>
        </w:rPr>
        <w:t>政府办公室</w:t>
      </w:r>
    </w:p>
    <w:p>
      <w:pPr>
        <w:keepNext w:val="0"/>
        <w:keepLines w:val="0"/>
        <w:pageBreakBefore w:val="0"/>
        <w:widowControl w:val="0"/>
        <w:kinsoku/>
        <w:wordWrap/>
        <w:overflowPunct/>
        <w:topLinePunct w:val="0"/>
        <w:autoSpaceDE/>
        <w:autoSpaceDN/>
        <w:adjustRightInd/>
        <w:snapToGrid/>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202</w:t>
      </w:r>
      <w:r>
        <w:rPr>
          <w:rFonts w:hint="eastAsia" w:ascii="方正小标宋简体" w:eastAsia="方正小标宋简体" w:cs="方正小标宋简体"/>
          <w:sz w:val="44"/>
          <w:szCs w:val="44"/>
          <w:lang w:val="en-US" w:eastAsia="zh-CN"/>
        </w:rPr>
        <w:t>4</w:t>
      </w:r>
      <w:r>
        <w:rPr>
          <w:rFonts w:hint="eastAsia" w:ascii="方正小标宋简体" w:eastAsia="方正小标宋简体" w:cs="方正小标宋简体"/>
          <w:sz w:val="44"/>
          <w:szCs w:val="44"/>
        </w:rPr>
        <w:t>年政府信息公开工作年度报告</w:t>
      </w:r>
    </w:p>
    <w:p>
      <w:pPr>
        <w:keepNext w:val="0"/>
        <w:keepLines w:val="0"/>
        <w:pageBreakBefore w:val="0"/>
        <w:widowControl w:val="0"/>
        <w:kinsoku/>
        <w:wordWrap/>
        <w:overflowPunct/>
        <w:topLinePunct w:val="0"/>
        <w:autoSpaceDE/>
        <w:autoSpaceDN/>
        <w:adjustRightInd/>
        <w:snapToGrid/>
        <w:spacing w:line="600" w:lineRule="exact"/>
        <w:jc w:val="center"/>
        <w:rPr>
          <w:rFonts w:asci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adjustRightInd/>
        <w:snapToGrid/>
        <w:spacing w:line="600" w:lineRule="exact"/>
        <w:ind w:firstLine="640" w:firstLineChars="200"/>
        <w:jc w:val="center"/>
        <w:rPr>
          <w:rFonts w:hint="eastAsia" w:asci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本报告根据《中华人民共和国政府信息公开条例》（以下简称《条例》）有关规定，按照</w:t>
      </w:r>
      <w:r>
        <w:rPr>
          <w:rFonts w:hint="eastAsia" w:ascii="仿宋_GB2312" w:hAnsi="仿宋_GB2312" w:eastAsia="仿宋_GB2312" w:cs="仿宋_GB2312"/>
          <w:sz w:val="32"/>
          <w:szCs w:val="32"/>
        </w:rPr>
        <w:t>《中华人民共和国政府信息公开工作年度报告格式》（国办公开办函〔2021〕30号）</w:t>
      </w:r>
      <w:r>
        <w:rPr>
          <w:rFonts w:hint="eastAsia" w:ascii="仿宋" w:eastAsia="仿宋" w:cs="仿宋"/>
          <w:sz w:val="32"/>
          <w:szCs w:val="32"/>
        </w:rPr>
        <w:t>要求</w:t>
      </w:r>
      <w:r>
        <w:rPr>
          <w:rFonts w:ascii="仿宋" w:eastAsia="仿宋" w:cs="仿宋"/>
          <w:sz w:val="32"/>
          <w:szCs w:val="32"/>
        </w:rPr>
        <w:t>进行</w:t>
      </w:r>
      <w:r>
        <w:rPr>
          <w:rFonts w:hint="eastAsia" w:ascii="仿宋_GB2312" w:eastAsia="仿宋_GB2312" w:cs="仿宋_GB2312"/>
          <w:color w:val="333333"/>
          <w:sz w:val="32"/>
          <w:szCs w:val="32"/>
        </w:rPr>
        <w:t>编制</w:t>
      </w:r>
      <w:r>
        <w:rPr>
          <w:rFonts w:ascii="仿宋_GB2312" w:eastAsia="仿宋_GB2312" w:cs="仿宋_GB2312"/>
          <w:color w:val="333333"/>
          <w:sz w:val="32"/>
          <w:szCs w:val="32"/>
        </w:rPr>
        <w:t>。</w:t>
      </w:r>
      <w:r>
        <w:rPr>
          <w:rFonts w:hint="eastAsia" w:ascii="仿宋_GB2312" w:eastAsia="仿宋_GB2312" w:cs="仿宋_GB2312"/>
          <w:color w:val="333333"/>
          <w:sz w:val="32"/>
          <w:szCs w:val="32"/>
        </w:rPr>
        <w:t>报告全文包括本年度政府信息公开工作的总体情况，主动公开政府信息情况，收到和处理政府信息公开申请情况，政府信息公开行政复议、行政诉讼情况，存在的主要问题及改进情况，其他需要报告的事项。本年度报告中所列数据的统计期限为202</w:t>
      </w:r>
      <w:r>
        <w:rPr>
          <w:rFonts w:hint="eastAsia" w:ascii="仿宋_GB2312" w:eastAsia="仿宋_GB2312" w:cs="仿宋_GB2312"/>
          <w:color w:val="333333"/>
          <w:sz w:val="32"/>
          <w:szCs w:val="32"/>
          <w:lang w:val="en-US" w:eastAsia="zh-CN"/>
        </w:rPr>
        <w:t>4</w:t>
      </w:r>
    </w:p>
    <w:p>
      <w:pPr>
        <w:keepNext w:val="0"/>
        <w:keepLines w:val="0"/>
        <w:pageBreakBefore w:val="0"/>
        <w:widowControl w:val="0"/>
        <w:kinsoku/>
        <w:wordWrap/>
        <w:overflowPunct/>
        <w:topLinePunct w:val="0"/>
        <w:autoSpaceDE/>
        <w:autoSpaceDN/>
        <w:adjustRightInd/>
        <w:snapToGrid/>
        <w:spacing w:line="600" w:lineRule="exact"/>
        <w:ind w:left="0"/>
        <w:rPr>
          <w:rFonts w:hint="eastAsia" w:ascii="方正小标宋简体" w:eastAsia="方正小标宋简体" w:cs="方正小标宋简体"/>
          <w:sz w:val="44"/>
          <w:szCs w:val="44"/>
        </w:rPr>
      </w:pPr>
      <w:r>
        <w:rPr>
          <w:rFonts w:hint="eastAsia" w:ascii="仿宋_GB2312" w:eastAsia="仿宋_GB2312" w:cs="仿宋_GB2312"/>
          <w:color w:val="333333"/>
          <w:sz w:val="32"/>
          <w:szCs w:val="32"/>
        </w:rPr>
        <w:t>年1月1日起至202</w:t>
      </w:r>
      <w:r>
        <w:rPr>
          <w:rFonts w:hint="eastAsia" w:ascii="仿宋_GB2312" w:eastAsia="仿宋_GB2312" w:cs="仿宋_GB2312"/>
          <w:color w:val="333333"/>
          <w:sz w:val="32"/>
          <w:szCs w:val="32"/>
          <w:lang w:val="en-US" w:eastAsia="zh-CN"/>
        </w:rPr>
        <w:t>4</w:t>
      </w:r>
      <w:r>
        <w:rPr>
          <w:rFonts w:hint="eastAsia" w:ascii="仿宋_GB2312" w:eastAsia="仿宋_GB2312" w:cs="仿宋_GB2312"/>
          <w:color w:val="333333"/>
          <w:sz w:val="32"/>
          <w:szCs w:val="32"/>
        </w:rPr>
        <w:t>年12月31日止，并通过县人民政府门户网站（http://www.xzwz.gov.cn/）全文公开。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一、总体情况</w:t>
      </w:r>
    </w:p>
    <w:p>
      <w:pPr>
        <w:keepNext w:val="0"/>
        <w:keepLines w:val="0"/>
        <w:pageBreakBefore w:val="0"/>
        <w:widowControl w:val="0"/>
        <w:kinsoku/>
        <w:wordWrap/>
        <w:overflowPunct/>
        <w:topLinePunct w:val="0"/>
        <w:autoSpaceDE/>
        <w:autoSpaceDN/>
        <w:adjustRightInd/>
        <w:snapToGrid/>
        <w:spacing w:line="600" w:lineRule="exact"/>
        <w:ind w:firstLine="640" w:firstLineChars="200"/>
        <w:rPr>
          <w:rFonts w:ascii="仿宋_GB2312" w:eastAsia="仿宋_GB2312" w:cs="仿宋_GB2312"/>
          <w:color w:val="333333"/>
          <w:sz w:val="32"/>
          <w:szCs w:val="32"/>
        </w:rPr>
      </w:pPr>
      <w:r>
        <w:rPr>
          <w:rFonts w:hint="eastAsia" w:ascii="仿宋_GB2312" w:eastAsia="仿宋_GB2312" w:cs="仿宋_GB2312"/>
          <w:color w:val="333333"/>
          <w:kern w:val="0"/>
          <w:sz w:val="32"/>
          <w:szCs w:val="32"/>
        </w:rPr>
        <w:t>202</w:t>
      </w:r>
      <w:r>
        <w:rPr>
          <w:rFonts w:hint="eastAsia" w:ascii="仿宋_GB2312" w:eastAsia="仿宋_GB2312" w:cs="仿宋_GB2312"/>
          <w:color w:val="333333"/>
          <w:kern w:val="0"/>
          <w:sz w:val="32"/>
          <w:szCs w:val="32"/>
          <w:lang w:val="en-US" w:eastAsia="zh-CN"/>
        </w:rPr>
        <w:t>4</w:t>
      </w:r>
      <w:r>
        <w:rPr>
          <w:rFonts w:hint="eastAsia" w:ascii="仿宋_GB2312" w:eastAsia="仿宋_GB2312" w:cs="仿宋_GB2312"/>
          <w:color w:val="333333"/>
          <w:kern w:val="0"/>
          <w:sz w:val="32"/>
          <w:szCs w:val="32"/>
        </w:rPr>
        <w:t>年，我办认真贯彻落实《条例》精神，</w:t>
      </w:r>
      <w:r>
        <w:rPr>
          <w:rFonts w:ascii="仿宋_GB2312" w:eastAsia="仿宋_GB2312" w:cs="仿宋_GB2312"/>
          <w:color w:val="333333"/>
          <w:kern w:val="0"/>
          <w:sz w:val="32"/>
          <w:szCs w:val="32"/>
        </w:rPr>
        <w:t>在</w:t>
      </w:r>
      <w:r>
        <w:rPr>
          <w:rFonts w:hint="eastAsia" w:ascii="仿宋_GB2312" w:eastAsia="仿宋_GB2312" w:cs="仿宋_GB2312"/>
          <w:color w:val="333333"/>
          <w:kern w:val="0"/>
          <w:sz w:val="32"/>
          <w:szCs w:val="32"/>
        </w:rPr>
        <w:t>县委、县政府</w:t>
      </w:r>
      <w:r>
        <w:rPr>
          <w:rFonts w:ascii="仿宋_GB2312" w:eastAsia="仿宋_GB2312" w:cs="仿宋_GB2312"/>
          <w:color w:val="333333"/>
          <w:kern w:val="0"/>
          <w:sz w:val="32"/>
          <w:szCs w:val="32"/>
        </w:rPr>
        <w:t>的坚强领导下，坚</w:t>
      </w:r>
      <w:r>
        <w:rPr>
          <w:rFonts w:ascii="仿宋_GB2312" w:eastAsia="仿宋_GB2312" w:cs="仿宋_GB2312"/>
          <w:color w:val="333333"/>
          <w:sz w:val="32"/>
          <w:szCs w:val="32"/>
        </w:rPr>
        <w:t>持以习近平新时代中国特色社会主义思想为指导，全面学习贯彻党的二十大精神，聚焦重点民生工作，积极主动公开相关政府信息，积极回应社会关切，做好各项民生领域的政务公开工作，</w:t>
      </w:r>
      <w:r>
        <w:rPr>
          <w:rFonts w:hint="eastAsia" w:ascii="仿宋_GB2312" w:eastAsia="仿宋_GB2312" w:cs="仿宋_GB2312"/>
          <w:color w:val="333333"/>
          <w:kern w:val="0"/>
          <w:sz w:val="32"/>
          <w:szCs w:val="32"/>
        </w:rPr>
        <w:t>依法依规答复政府信息公开申请，切实有效推进政府信息公开工作</w:t>
      </w:r>
      <w:r>
        <w:rPr>
          <w:rFonts w:ascii="仿宋_GB2312" w:eastAsia="仿宋_GB2312" w:cs="仿宋_GB2312"/>
          <w:color w:val="333333"/>
          <w:kern w:val="0"/>
          <w:sz w:val="32"/>
          <w:szCs w:val="32"/>
        </w:rPr>
        <w:t>，为五寨县</w:t>
      </w:r>
      <w:r>
        <w:rPr>
          <w:rFonts w:ascii="仿宋_GB2312" w:eastAsia="仿宋_GB2312" w:cs="仿宋_GB2312"/>
          <w:color w:val="333333"/>
          <w:sz w:val="32"/>
          <w:szCs w:val="32"/>
        </w:rPr>
        <w:t>高质量发展积蓄更多新动能。</w:t>
      </w:r>
    </w:p>
    <w:p>
      <w:pPr>
        <w:keepNext w:val="0"/>
        <w:keepLines w:val="0"/>
        <w:pageBreakBefore w:val="0"/>
        <w:widowControl w:val="0"/>
        <w:kinsoku/>
        <w:wordWrap/>
        <w:overflowPunct/>
        <w:topLinePunct w:val="0"/>
        <w:autoSpaceDE/>
        <w:autoSpaceDN/>
        <w:adjustRightInd/>
        <w:snapToGrid/>
        <w:spacing w:line="600" w:lineRule="exact"/>
        <w:ind w:firstLine="642" w:firstLineChars="200"/>
        <w:rPr>
          <w:rFonts w:hint="eastAsia" w:ascii="仿宋_GB2312" w:eastAsia="仿宋_GB2312" w:cs="仿宋_GB2312"/>
          <w:color w:val="333333"/>
          <w:kern w:val="0"/>
          <w:sz w:val="32"/>
          <w:szCs w:val="32"/>
        </w:rPr>
      </w:pPr>
      <w:r>
        <w:rPr>
          <w:rFonts w:hint="eastAsia" w:ascii="楷体_GB2312" w:eastAsia="楷体_GB2312" w:cs="仿宋_GB2312"/>
          <w:b/>
          <w:bCs/>
          <w:color w:val="333333"/>
          <w:kern w:val="0"/>
          <w:sz w:val="32"/>
          <w:szCs w:val="32"/>
        </w:rPr>
        <w:t>（一）主动公开情况。</w:t>
      </w:r>
      <w:r>
        <w:rPr>
          <w:rFonts w:hint="eastAsia" w:ascii="仿宋_GB2312" w:eastAsia="仿宋_GB2312" w:cs="仿宋_GB2312"/>
          <w:color w:val="333333"/>
          <w:kern w:val="0"/>
          <w:sz w:val="32"/>
          <w:szCs w:val="32"/>
        </w:rPr>
        <w:t>持续推动我县政府信息公开制度化、规范化、常态化</w:t>
      </w:r>
      <w:r>
        <w:rPr>
          <w:rFonts w:ascii="仿宋_GB2312" w:eastAsia="仿宋_GB2312" w:cs="仿宋_GB2312"/>
          <w:color w:val="333333"/>
          <w:kern w:val="0"/>
          <w:sz w:val="32"/>
          <w:szCs w:val="32"/>
        </w:rPr>
        <w:t>，</w:t>
      </w:r>
      <w:r>
        <w:rPr>
          <w:rFonts w:ascii="仿宋_GB2312" w:eastAsia="仿宋_GB2312" w:cs="仿宋_GB2312"/>
          <w:color w:val="333333"/>
          <w:sz w:val="32"/>
          <w:szCs w:val="32"/>
        </w:rPr>
        <w:t>扩大受众面，提升知晓度，增强政策的传播力和影响力。</w:t>
      </w:r>
      <w:r>
        <w:rPr>
          <w:rFonts w:hint="eastAsia" w:ascii="仿宋_GB2312" w:eastAsia="仿宋_GB2312" w:cs="仿宋_GB2312"/>
          <w:color w:val="auto"/>
          <w:sz w:val="32"/>
          <w:szCs w:val="32"/>
        </w:rPr>
        <w:t>2024年，新浪微博“五寨发布”发布信息1178条，县政府网站发布2610条，主动公开国务院文件68个、省政府文件29个、市政府文件30个、县政府和县政府办文件7个，政策解读信息110条。</w:t>
      </w:r>
    </w:p>
    <w:p>
      <w:pPr>
        <w:keepNext w:val="0"/>
        <w:keepLines w:val="0"/>
        <w:pageBreakBefore w:val="0"/>
        <w:widowControl/>
        <w:suppressLineNumbers w:val="0"/>
        <w:kinsoku/>
        <w:wordWrap/>
        <w:overflowPunct/>
        <w:topLinePunct w:val="0"/>
        <w:autoSpaceDE/>
        <w:autoSpaceDN/>
        <w:adjustRightInd/>
        <w:snapToGrid/>
        <w:spacing w:line="600" w:lineRule="exact"/>
        <w:ind w:firstLine="642" w:firstLineChars="200"/>
        <w:jc w:val="left"/>
        <w:rPr>
          <w:rFonts w:ascii="仿宋_GB2312" w:eastAsia="仿宋_GB2312" w:cs="仿宋_GB2312"/>
          <w:color w:val="333333"/>
          <w:sz w:val="32"/>
          <w:szCs w:val="32"/>
        </w:rPr>
      </w:pPr>
      <w:r>
        <w:rPr>
          <w:rFonts w:hint="eastAsia" w:ascii="楷体_GB2312" w:eastAsia="楷体_GB2312" w:cs="仿宋_GB2312"/>
          <w:b/>
          <w:bCs/>
          <w:color w:val="333333"/>
          <w:kern w:val="0"/>
          <w:sz w:val="32"/>
          <w:szCs w:val="32"/>
        </w:rPr>
        <w:t>（二）依申请公开情况。</w:t>
      </w:r>
      <w:r>
        <w:rPr>
          <w:rFonts w:hint="eastAsia" w:ascii="仿宋_GB2312" w:eastAsia="仿宋_GB2312" w:cs="仿宋_GB2312"/>
          <w:color w:val="333333"/>
          <w:kern w:val="0"/>
          <w:sz w:val="32"/>
          <w:szCs w:val="32"/>
        </w:rPr>
        <w:t>我办高度重视依申请公开工作，坚持依法规范办理，建立健全制度规范，完善《五寨县政府信息公开指南》，</w:t>
      </w:r>
      <w:r>
        <w:rPr>
          <w:rFonts w:ascii="仿宋_GB2312" w:eastAsia="仿宋_GB2312" w:cs="仿宋_GB2312"/>
          <w:color w:val="333333"/>
          <w:sz w:val="32"/>
          <w:szCs w:val="32"/>
        </w:rPr>
        <w:t>提升政府信息公开答复的满意度，满足社会对申请公开工作更高需求。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2" w:firstLineChars="200"/>
        <w:jc w:val="both"/>
        <w:rPr>
          <w:rFonts w:hint="eastAsia" w:ascii="仿宋_GB2312" w:eastAsia="仿宋_GB2312" w:cs="仿宋_GB2312"/>
          <w:color w:val="333333"/>
          <w:sz w:val="32"/>
          <w:szCs w:val="32"/>
        </w:rPr>
      </w:pPr>
      <w:r>
        <w:rPr>
          <w:rFonts w:hint="eastAsia" w:ascii="楷体_GB2312" w:eastAsia="楷体_GB2312" w:cs="仿宋_GB2312"/>
          <w:b/>
          <w:bCs/>
          <w:color w:val="333333"/>
          <w:sz w:val="32"/>
          <w:szCs w:val="32"/>
        </w:rPr>
        <w:t>（三）政府信息管理情况。</w:t>
      </w:r>
      <w:r>
        <w:rPr>
          <w:rFonts w:ascii="仿宋_GB2312" w:eastAsia="仿宋_GB2312" w:cs="仿宋_GB2312"/>
          <w:color w:val="333333"/>
          <w:sz w:val="32"/>
          <w:szCs w:val="32"/>
        </w:rPr>
        <w:t>全面落细落实省、市政府202</w:t>
      </w:r>
      <w:r>
        <w:rPr>
          <w:rFonts w:hint="eastAsia" w:ascii="仿宋_GB2312" w:eastAsia="仿宋_GB2312" w:cs="仿宋_GB2312"/>
          <w:color w:val="333333"/>
          <w:sz w:val="32"/>
          <w:szCs w:val="32"/>
          <w:lang w:val="en-US" w:eastAsia="zh-CN"/>
        </w:rPr>
        <w:t>4</w:t>
      </w:r>
      <w:r>
        <w:rPr>
          <w:rFonts w:ascii="仿宋_GB2312" w:eastAsia="仿宋_GB2312" w:cs="仿宋_GB2312"/>
          <w:color w:val="333333"/>
          <w:sz w:val="32"/>
          <w:szCs w:val="32"/>
        </w:rPr>
        <w:t>年度政务公开文件精神，</w:t>
      </w:r>
      <w:r>
        <w:rPr>
          <w:rFonts w:hint="eastAsia" w:ascii="仿宋_GB2312" w:eastAsia="仿宋_GB2312" w:cs="仿宋_GB2312"/>
          <w:color w:val="333333"/>
          <w:sz w:val="32"/>
          <w:szCs w:val="32"/>
        </w:rPr>
        <w:t>不断建立健全政府信息公开工作制度，切实加强对政府信息公开工作的组织领导和工作力度</w:t>
      </w:r>
      <w:r>
        <w:rPr>
          <w:rFonts w:ascii="仿宋_GB2312" w:eastAsia="仿宋_GB2312" w:cs="仿宋_GB2312"/>
          <w:color w:val="333333"/>
          <w:sz w:val="32"/>
          <w:szCs w:val="32"/>
        </w:rPr>
        <w:t>。组织印发202</w:t>
      </w:r>
      <w:r>
        <w:rPr>
          <w:rFonts w:hint="eastAsia" w:ascii="仿宋_GB2312" w:eastAsia="仿宋_GB2312" w:cs="仿宋_GB2312"/>
          <w:color w:val="333333"/>
          <w:sz w:val="32"/>
          <w:szCs w:val="32"/>
          <w:lang w:val="en-US" w:eastAsia="zh-CN"/>
        </w:rPr>
        <w:t>4</w:t>
      </w:r>
      <w:r>
        <w:rPr>
          <w:rFonts w:ascii="仿宋_GB2312" w:eastAsia="仿宋_GB2312" w:cs="仿宋_GB2312"/>
          <w:color w:val="333333"/>
          <w:sz w:val="32"/>
          <w:szCs w:val="32"/>
        </w:rPr>
        <w:t>年《五寨县人民政府公报》共2期（半年刊），加大公文属性的认定力度，将认定为主动公开的文件同步在政府网站和政府公报上刊载公布，提升政务公开工作效能，打造服务型政府。</w:t>
      </w:r>
      <w:r>
        <w:rPr>
          <w:rFonts w:hint="eastAsia" w:ascii="仿宋_GB2312" w:eastAsia="仿宋_GB2312" w:cs="仿宋_GB2312"/>
          <w:color w:val="333333"/>
          <w:sz w:val="32"/>
          <w:szCs w:val="32"/>
        </w:rPr>
        <w:t>坚持“公开为原则”，推进重点领域政务信息公开工作。</w:t>
      </w:r>
    </w:p>
    <w:p>
      <w:pPr>
        <w:keepNext w:val="0"/>
        <w:keepLines w:val="0"/>
        <w:pageBreakBefore w:val="0"/>
        <w:widowControl/>
        <w:suppressLineNumbers w:val="0"/>
        <w:kinsoku/>
        <w:wordWrap/>
        <w:overflowPunct/>
        <w:topLinePunct w:val="0"/>
        <w:autoSpaceDE/>
        <w:autoSpaceDN/>
        <w:adjustRightInd/>
        <w:snapToGrid/>
        <w:spacing w:line="600" w:lineRule="exact"/>
        <w:ind w:firstLine="640" w:firstLineChars="200"/>
        <w:jc w:val="left"/>
        <w:rPr>
          <w:rFonts w:hint="eastAsia" w:ascii="仿宋_GB2312" w:eastAsia="仿宋_GB2312" w:cs="仿宋_GB2312"/>
          <w:color w:val="333333"/>
          <w:sz w:val="32"/>
          <w:szCs w:val="32"/>
          <w:lang w:val="en-US" w:eastAsia="zh-CN"/>
        </w:rPr>
      </w:pPr>
      <w:r>
        <w:rPr>
          <w:rFonts w:ascii="仿宋_GB2312" w:eastAsia="仿宋_GB2312" w:cs="仿宋_GB2312"/>
          <w:color w:val="333333"/>
          <w:sz w:val="32"/>
          <w:szCs w:val="32"/>
        </w:rPr>
        <w:t> </w:t>
      </w:r>
      <w:r>
        <w:rPr>
          <w:rFonts w:hint="eastAsia" w:ascii="楷体_GB2312" w:eastAsia="楷体_GB2312" w:cs="仿宋_GB2312"/>
          <w:b/>
          <w:bCs/>
          <w:color w:val="333333"/>
          <w:sz w:val="32"/>
          <w:szCs w:val="32"/>
        </w:rPr>
        <w:t>（四）政府信息公开平台建设情况。</w:t>
      </w:r>
      <w:r>
        <w:rPr>
          <w:rFonts w:hint="eastAsia" w:ascii="仿宋_GB2312" w:eastAsia="仿宋_GB2312" w:cs="仿宋_GB2312"/>
          <w:color w:val="333333"/>
          <w:sz w:val="32"/>
          <w:szCs w:val="32"/>
          <w:lang w:val="en-US" w:eastAsia="zh-CN"/>
        </w:rPr>
        <w:t>扎实做好县政府门户网站的</w:t>
      </w:r>
      <w:r>
        <w:rPr>
          <w:rFonts w:hint="eastAsia" w:ascii="仿宋_GB2312" w:eastAsia="仿宋_GB2312" w:cs="仿宋_GB2312"/>
          <w:color w:val="333333"/>
          <w:sz w:val="32"/>
          <w:szCs w:val="32"/>
        </w:rPr>
        <w:t>管理维护</w:t>
      </w:r>
      <w:r>
        <w:rPr>
          <w:rFonts w:hint="eastAsia" w:ascii="仿宋_GB2312" w:eastAsia="仿宋_GB2312" w:cs="仿宋_GB2312"/>
          <w:color w:val="333333"/>
          <w:sz w:val="32"/>
          <w:szCs w:val="32"/>
          <w:lang w:eastAsia="zh-CN"/>
        </w:rPr>
        <w:t>工作，</w:t>
      </w:r>
      <w:r>
        <w:rPr>
          <w:rFonts w:hint="eastAsia" w:ascii="仿宋_GB2312" w:eastAsia="仿宋_GB2312" w:cs="仿宋_GB2312"/>
          <w:color w:val="333333"/>
          <w:sz w:val="32"/>
          <w:szCs w:val="32"/>
        </w:rPr>
        <w:t>完善网站信息归档，加强对网站页面信息的规范化管理</w:t>
      </w:r>
      <w:r>
        <w:rPr>
          <w:rFonts w:hint="eastAsia" w:ascii="仿宋_GB2312" w:eastAsia="仿宋_GB2312" w:cs="仿宋_GB2312"/>
          <w:color w:val="333333"/>
          <w:sz w:val="32"/>
          <w:szCs w:val="32"/>
          <w:lang w:eastAsia="zh-CN"/>
        </w:rPr>
        <w:t>，建立健全安全监测预警机制，</w:t>
      </w:r>
      <w:r>
        <w:rPr>
          <w:rFonts w:hint="eastAsia" w:ascii="仿宋_GB2312" w:eastAsia="仿宋_GB2312" w:cs="仿宋_GB2312"/>
          <w:color w:val="333333"/>
          <w:sz w:val="32"/>
          <w:szCs w:val="32"/>
          <w:lang w:val="en-US" w:eastAsia="zh-CN"/>
        </w:rPr>
        <w:t>同时坚持以公开促服务、促落实、促规范，借鉴其他单位先进经验，注重在公开内容、公开形式、公开平台等方面积极探索，</w:t>
      </w:r>
      <w:r>
        <w:rPr>
          <w:rFonts w:hint="eastAsia" w:ascii="仿宋_GB2312" w:eastAsia="仿宋_GB2312" w:cs="仿宋_GB2312"/>
          <w:color w:val="333333"/>
          <w:sz w:val="32"/>
          <w:szCs w:val="32"/>
          <w:lang w:eastAsia="zh-CN"/>
        </w:rPr>
        <w:t>加大对网站栏目的日常巡查，抓好政府系统政务新媒体建设</w:t>
      </w:r>
      <w:r>
        <w:rPr>
          <w:rFonts w:hint="eastAsia" w:ascii="仿宋_GB2312" w:eastAsia="仿宋_GB2312" w:cs="仿宋_GB2312"/>
          <w:color w:val="333333"/>
          <w:sz w:val="32"/>
          <w:szCs w:val="32"/>
          <w:lang w:val="en-US" w:eastAsia="zh-CN"/>
        </w:rPr>
        <w:t>。</w:t>
      </w:r>
    </w:p>
    <w:p>
      <w:pPr>
        <w:keepNext w:val="0"/>
        <w:keepLines w:val="0"/>
        <w:pageBreakBefore w:val="0"/>
        <w:widowControl/>
        <w:suppressLineNumbers w:val="0"/>
        <w:kinsoku/>
        <w:wordWrap/>
        <w:overflowPunct/>
        <w:topLinePunct w:val="0"/>
        <w:autoSpaceDE/>
        <w:autoSpaceDN/>
        <w:adjustRightInd/>
        <w:snapToGrid/>
        <w:spacing w:line="600" w:lineRule="exact"/>
        <w:ind w:firstLine="642" w:firstLineChars="200"/>
        <w:jc w:val="left"/>
        <w:rPr>
          <w:rFonts w:ascii="仿宋_GB2312" w:eastAsia="仿宋_GB2312" w:cs="仿宋_GB2312"/>
          <w:color w:val="333333"/>
          <w:sz w:val="32"/>
          <w:szCs w:val="32"/>
        </w:rPr>
      </w:pPr>
      <w:r>
        <w:rPr>
          <w:rFonts w:hint="eastAsia" w:ascii="楷体_GB2312" w:eastAsia="楷体_GB2312" w:cs="仿宋_GB2312"/>
          <w:b/>
          <w:bCs/>
          <w:color w:val="333333"/>
          <w:sz w:val="32"/>
          <w:szCs w:val="32"/>
        </w:rPr>
        <w:t>（五）监督保障情况。</w:t>
      </w:r>
      <w:r>
        <w:rPr>
          <w:rFonts w:hint="eastAsia" w:ascii="仿宋_GB2312" w:hAnsi="仿宋_GB2312" w:eastAsia="仿宋_GB2312" w:cs="仿宋_GB2312"/>
          <w:sz w:val="32"/>
          <w:szCs w:val="32"/>
          <w:lang w:val="en-US" w:eastAsia="zh-CN"/>
        </w:rPr>
        <w:t>高度重视政府信息公开工作的监督保障，为此建立了完善的监督机制，包括内部监督和外部监督两个方面。</w:t>
      </w:r>
      <w:bookmarkStart w:id="0" w:name="_GoBack"/>
      <w:bookmarkEnd w:id="0"/>
      <w:r>
        <w:rPr>
          <w:rFonts w:hint="eastAsia" w:ascii="仿宋_GB2312" w:eastAsia="仿宋_GB2312" w:cs="仿宋_GB2312"/>
          <w:color w:val="333333"/>
          <w:sz w:val="32"/>
          <w:szCs w:val="32"/>
          <w:lang w:val="en-US"/>
        </w:rPr>
        <w:t>进一步强化监督管理，持续加强对</w:t>
      </w:r>
      <w:r>
        <w:rPr>
          <w:rFonts w:hint="eastAsia" w:ascii="仿宋_GB2312" w:eastAsia="仿宋_GB2312" w:cs="仿宋_GB2312"/>
          <w:color w:val="333333"/>
          <w:sz w:val="32"/>
          <w:szCs w:val="32"/>
        </w:rPr>
        <w:t>各乡（镇）、各部门政府信息公开工作的督促检查，</w:t>
      </w:r>
      <w:r>
        <w:rPr>
          <w:rFonts w:hint="eastAsia" w:ascii="仿宋_GB2312" w:eastAsia="仿宋_GB2312" w:cs="仿宋_GB2312"/>
          <w:color w:val="333333"/>
          <w:sz w:val="32"/>
          <w:szCs w:val="32"/>
          <w:lang w:val="en-US"/>
        </w:rPr>
        <w:t>全力推动形成县、乡（镇）、部门协同共进推动工作落实的良好局面，凝聚了抓整治、重规范的强大工作合力，确保工作推进有序。积极</w:t>
      </w:r>
      <w:r>
        <w:rPr>
          <w:rFonts w:hint="eastAsia" w:ascii="仿宋_GB2312" w:eastAsia="仿宋_GB2312" w:cs="仿宋_GB2312"/>
          <w:color w:val="333333"/>
          <w:sz w:val="32"/>
          <w:szCs w:val="32"/>
        </w:rPr>
        <w:t>组织参加全市政务公开、政务信息、政府网站与政务新媒体工作培训会，全面提升业务水平。</w:t>
      </w:r>
    </w:p>
    <w:p>
      <w:pPr>
        <w:keepNext w:val="0"/>
        <w:keepLines w:val="0"/>
        <w:pageBreakBefore w:val="0"/>
        <w:widowControl/>
        <w:suppressLineNumbers w:val="0"/>
        <w:kinsoku/>
        <w:wordWrap/>
        <w:overflowPunct/>
        <w:topLinePunct w:val="0"/>
        <w:autoSpaceDE/>
        <w:autoSpaceDN/>
        <w:adjustRightInd/>
        <w:snapToGrid/>
        <w:spacing w:line="600" w:lineRule="exact"/>
        <w:ind w:firstLine="640" w:firstLineChars="200"/>
        <w:jc w:val="left"/>
        <w:rPr>
          <w:rFonts w:hint="eastAsia" w:ascii="黑体" w:eastAsia="黑体" w:cs="仿宋_GB2312"/>
          <w:color w:val="333333"/>
          <w:kern w:val="2"/>
          <w:sz w:val="32"/>
          <w:szCs w:val="32"/>
        </w:rPr>
      </w:pPr>
      <w:r>
        <w:rPr>
          <w:rFonts w:hint="eastAsia" w:ascii="黑体" w:eastAsia="黑体" w:cs="仿宋_GB2312"/>
          <w:color w:val="333333"/>
          <w:kern w:val="2"/>
          <w:sz w:val="32"/>
          <w:szCs w:val="32"/>
        </w:rPr>
        <w:t>二、主动公开政府信息情况</w:t>
      </w:r>
    </w:p>
    <w:tbl>
      <w:tblPr>
        <w:tblStyle w:val="6"/>
        <w:tblW w:w="9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00"/>
        <w:gridCol w:w="2400"/>
        <w:gridCol w:w="24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jc w:val="center"/>
        </w:trPr>
        <w:tc>
          <w:tcPr>
            <w:tcW w:w="9600" w:type="dxa"/>
            <w:gridSpan w:val="4"/>
            <w:tcBorders>
              <w:top w:val="single" w:color="auto" w:sz="8" w:space="0"/>
              <w:left w:val="single" w:color="auto" w:sz="8" w:space="0"/>
              <w:bottom w:val="single" w:color="auto" w:sz="8" w:space="0"/>
              <w:right w:val="single" w:color="auto" w:sz="8" w:space="0"/>
            </w:tcBorders>
            <w:shd w:val="clear" w:color="auto" w:fill="C6D9F1"/>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color w:val="000000"/>
                <w:kern w:val="0"/>
                <w:sz w:val="32"/>
                <w:szCs w:val="32"/>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jc w:val="center"/>
        </w:trPr>
        <w:tc>
          <w:tcPr>
            <w:tcW w:w="2400" w:type="dxa"/>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color w:val="000000"/>
                <w:kern w:val="0"/>
                <w:sz w:val="32"/>
                <w:szCs w:val="32"/>
                <w:lang w:val="en-US" w:eastAsia="zh-CN"/>
              </w:rPr>
              <w:t>信息内容</w:t>
            </w:r>
          </w:p>
        </w:tc>
        <w:tc>
          <w:tcPr>
            <w:tcW w:w="2400" w:type="dxa"/>
            <w:tcBorders>
              <w:top w:val="single" w:color="auto" w:sz="8" w:space="0"/>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color w:val="000000"/>
                <w:kern w:val="0"/>
                <w:sz w:val="32"/>
                <w:szCs w:val="32"/>
                <w:lang w:val="en-US" w:eastAsia="zh-CN"/>
              </w:rPr>
              <w:t>本年</w:t>
            </w:r>
            <w:r>
              <w:rPr>
                <w:rFonts w:hint="eastAsia" w:ascii="仿宋" w:eastAsia="仿宋" w:cs="仿宋"/>
                <w:kern w:val="0"/>
                <w:sz w:val="32"/>
                <w:szCs w:val="32"/>
                <w:lang w:val="en-US" w:eastAsia="zh-CN"/>
              </w:rPr>
              <w:t>制发件数</w:t>
            </w:r>
          </w:p>
        </w:tc>
        <w:tc>
          <w:tcPr>
            <w:tcW w:w="2400" w:type="dxa"/>
            <w:tcBorders>
              <w:top w:val="single" w:color="auto" w:sz="8" w:space="0"/>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color w:val="000000"/>
                <w:kern w:val="0"/>
                <w:sz w:val="32"/>
                <w:szCs w:val="32"/>
                <w:lang w:val="en-US" w:eastAsia="zh-CN"/>
              </w:rPr>
              <w:t>本年废止件数</w:t>
            </w:r>
          </w:p>
        </w:tc>
        <w:tc>
          <w:tcPr>
            <w:tcW w:w="2400" w:type="dxa"/>
            <w:tcBorders>
              <w:top w:val="single" w:color="auto" w:sz="8" w:space="0"/>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color w:val="000000"/>
                <w:kern w:val="0"/>
                <w:sz w:val="32"/>
                <w:szCs w:val="32"/>
                <w:lang w:val="en-US" w:eastAsia="zh-CN"/>
              </w:rPr>
              <w:t>现行有效件</w:t>
            </w:r>
            <w:r>
              <w:rPr>
                <w:rFonts w:hint="eastAsia" w:ascii="仿宋" w:eastAsia="仿宋" w:cs="仿宋"/>
                <w:kern w:val="0"/>
                <w:sz w:val="32"/>
                <w:szCs w:val="32"/>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jc w:val="center"/>
        </w:trPr>
        <w:tc>
          <w:tcPr>
            <w:tcW w:w="2400" w:type="dxa"/>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color w:val="000000"/>
                <w:kern w:val="0"/>
                <w:sz w:val="32"/>
                <w:szCs w:val="32"/>
                <w:lang w:val="en-US" w:eastAsia="zh-CN"/>
              </w:rPr>
              <w:t>规章</w:t>
            </w:r>
          </w:p>
        </w:tc>
        <w:tc>
          <w:tcPr>
            <w:tcW w:w="240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仿宋" w:eastAsia="仿宋" w:cs="仿宋"/>
                <w:sz w:val="32"/>
                <w:szCs w:val="32"/>
                <w:lang w:val="en-US"/>
              </w:rPr>
            </w:pPr>
            <w:r>
              <w:rPr>
                <w:rFonts w:hint="eastAsia" w:ascii="仿宋" w:eastAsia="仿宋" w:cs="仿宋"/>
                <w:color w:val="000000"/>
                <w:kern w:val="0"/>
                <w:sz w:val="32"/>
                <w:szCs w:val="32"/>
                <w:lang w:val="en-US" w:eastAsia="zh-CN"/>
              </w:rPr>
              <w:t>0</w:t>
            </w:r>
          </w:p>
        </w:tc>
        <w:tc>
          <w:tcPr>
            <w:tcW w:w="240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仿宋" w:eastAsia="仿宋" w:cs="仿宋"/>
                <w:sz w:val="32"/>
                <w:szCs w:val="32"/>
                <w:lang w:val="en-US"/>
              </w:rPr>
            </w:pPr>
            <w:r>
              <w:rPr>
                <w:rFonts w:hint="eastAsia" w:ascii="仿宋" w:eastAsia="仿宋" w:cs="仿宋"/>
                <w:color w:val="000000"/>
                <w:kern w:val="0"/>
                <w:sz w:val="32"/>
                <w:szCs w:val="32"/>
                <w:lang w:val="en-US" w:eastAsia="zh-CN"/>
              </w:rPr>
              <w:t>0</w:t>
            </w:r>
          </w:p>
        </w:tc>
        <w:tc>
          <w:tcPr>
            <w:tcW w:w="240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仿宋" w:eastAsia="仿宋" w:cs="仿宋"/>
                <w:sz w:val="32"/>
                <w:szCs w:val="32"/>
                <w:lang w:val="en-US"/>
              </w:rPr>
            </w:pPr>
            <w:r>
              <w:rPr>
                <w:rFonts w:hint="eastAsia"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jc w:val="center"/>
        </w:trPr>
        <w:tc>
          <w:tcPr>
            <w:tcW w:w="2400" w:type="dxa"/>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color w:val="000000"/>
                <w:kern w:val="0"/>
                <w:sz w:val="32"/>
                <w:szCs w:val="32"/>
                <w:lang w:val="en-US" w:eastAsia="zh-CN"/>
              </w:rPr>
              <w:t>行政规范性文件</w:t>
            </w:r>
          </w:p>
        </w:tc>
        <w:tc>
          <w:tcPr>
            <w:tcW w:w="240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仿宋" w:eastAsia="仿宋" w:cs="仿宋"/>
                <w:sz w:val="32"/>
                <w:szCs w:val="32"/>
                <w:lang w:val="en-US"/>
              </w:rPr>
            </w:pPr>
            <w:r>
              <w:rPr>
                <w:rFonts w:hint="eastAsia" w:ascii="仿宋" w:eastAsia="仿宋" w:cs="仿宋"/>
                <w:color w:val="000000"/>
                <w:kern w:val="0"/>
                <w:sz w:val="32"/>
                <w:szCs w:val="32"/>
                <w:lang w:val="en-US" w:eastAsia="zh-CN"/>
              </w:rPr>
              <w:t>0</w:t>
            </w:r>
          </w:p>
        </w:tc>
        <w:tc>
          <w:tcPr>
            <w:tcW w:w="240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仿宋" w:eastAsia="仿宋" w:cs="仿宋"/>
                <w:sz w:val="32"/>
                <w:szCs w:val="32"/>
                <w:lang w:val="en-US"/>
              </w:rPr>
            </w:pPr>
            <w:r>
              <w:rPr>
                <w:rFonts w:hint="eastAsia" w:ascii="仿宋" w:eastAsia="仿宋" w:cs="仿宋"/>
                <w:color w:val="000000"/>
                <w:kern w:val="0"/>
                <w:sz w:val="32"/>
                <w:szCs w:val="32"/>
                <w:lang w:val="en-US" w:eastAsia="zh-CN"/>
              </w:rPr>
              <w:t>0</w:t>
            </w:r>
          </w:p>
        </w:tc>
        <w:tc>
          <w:tcPr>
            <w:tcW w:w="240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仿宋" w:eastAsia="仿宋" w:cs="仿宋"/>
                <w:sz w:val="32"/>
                <w:szCs w:val="32"/>
                <w:lang w:val="en-US"/>
              </w:rPr>
            </w:pPr>
            <w:r>
              <w:rPr>
                <w:rFonts w:hint="eastAsia"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jc w:val="center"/>
        </w:trPr>
        <w:tc>
          <w:tcPr>
            <w:tcW w:w="9600" w:type="dxa"/>
            <w:gridSpan w:val="4"/>
            <w:tcBorders>
              <w:top w:val="nil"/>
              <w:left w:val="single" w:color="auto" w:sz="8" w:space="0"/>
              <w:bottom w:val="single" w:color="auto" w:sz="8" w:space="0"/>
              <w:right w:val="single" w:color="auto" w:sz="8" w:space="0"/>
            </w:tcBorders>
            <w:shd w:val="clear" w:color="auto" w:fill="C6D9F1"/>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color w:val="000000"/>
                <w:kern w:val="0"/>
                <w:sz w:val="32"/>
                <w:szCs w:val="32"/>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jc w:val="center"/>
        </w:trPr>
        <w:tc>
          <w:tcPr>
            <w:tcW w:w="2400" w:type="dxa"/>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color w:val="000000"/>
                <w:kern w:val="0"/>
                <w:sz w:val="32"/>
                <w:szCs w:val="32"/>
                <w:lang w:val="en-US" w:eastAsia="zh-CN"/>
              </w:rPr>
              <w:t>信息内容</w:t>
            </w:r>
          </w:p>
        </w:tc>
        <w:tc>
          <w:tcPr>
            <w:tcW w:w="7200" w:type="dxa"/>
            <w:gridSpan w:val="3"/>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color w:val="000000"/>
                <w:kern w:val="0"/>
                <w:sz w:val="32"/>
                <w:szCs w:val="32"/>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jc w:val="center"/>
        </w:trPr>
        <w:tc>
          <w:tcPr>
            <w:tcW w:w="2400" w:type="dxa"/>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color w:val="000000"/>
                <w:kern w:val="0"/>
                <w:sz w:val="32"/>
                <w:szCs w:val="32"/>
                <w:lang w:val="en-US" w:eastAsia="zh-CN"/>
              </w:rPr>
              <w:t>行政许可</w:t>
            </w:r>
          </w:p>
        </w:tc>
        <w:tc>
          <w:tcPr>
            <w:tcW w:w="7200" w:type="dxa"/>
            <w:gridSpan w:val="3"/>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仿宋" w:eastAsia="仿宋" w:cs="仿宋"/>
                <w:sz w:val="32"/>
                <w:szCs w:val="32"/>
                <w:lang w:val="en-US"/>
              </w:rPr>
            </w:pPr>
            <w:r>
              <w:rPr>
                <w:rFonts w:hint="eastAsia"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jc w:val="center"/>
        </w:trPr>
        <w:tc>
          <w:tcPr>
            <w:tcW w:w="9600" w:type="dxa"/>
            <w:gridSpan w:val="4"/>
            <w:tcBorders>
              <w:top w:val="nil"/>
              <w:left w:val="single" w:color="auto" w:sz="8" w:space="0"/>
              <w:bottom w:val="single" w:color="auto" w:sz="8" w:space="0"/>
              <w:right w:val="single" w:color="auto" w:sz="8" w:space="0"/>
            </w:tcBorders>
            <w:shd w:val="clear" w:color="auto" w:fill="C6D9F1"/>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color w:val="000000"/>
                <w:kern w:val="0"/>
                <w:sz w:val="32"/>
                <w:szCs w:val="32"/>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jc w:val="center"/>
        </w:trPr>
        <w:tc>
          <w:tcPr>
            <w:tcW w:w="2400" w:type="dxa"/>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color w:val="000000"/>
                <w:kern w:val="0"/>
                <w:sz w:val="32"/>
                <w:szCs w:val="32"/>
                <w:lang w:val="en-US" w:eastAsia="zh-CN"/>
              </w:rPr>
              <w:t>信息内容</w:t>
            </w:r>
          </w:p>
        </w:tc>
        <w:tc>
          <w:tcPr>
            <w:tcW w:w="7200" w:type="dxa"/>
            <w:gridSpan w:val="3"/>
            <w:tcBorders>
              <w:top w:val="single" w:color="auto" w:sz="8" w:space="0"/>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color w:val="000000"/>
                <w:kern w:val="0"/>
                <w:sz w:val="32"/>
                <w:szCs w:val="32"/>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jc w:val="center"/>
        </w:trPr>
        <w:tc>
          <w:tcPr>
            <w:tcW w:w="2400" w:type="dxa"/>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color w:val="000000"/>
                <w:kern w:val="0"/>
                <w:sz w:val="32"/>
                <w:szCs w:val="32"/>
                <w:lang w:val="en-US" w:eastAsia="zh-CN"/>
              </w:rPr>
              <w:t>行政处罚</w:t>
            </w:r>
          </w:p>
        </w:tc>
        <w:tc>
          <w:tcPr>
            <w:tcW w:w="7200" w:type="dxa"/>
            <w:gridSpan w:val="3"/>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仿宋" w:eastAsia="仿宋" w:cs="仿宋"/>
                <w:sz w:val="32"/>
                <w:szCs w:val="32"/>
                <w:lang w:val="en-US"/>
              </w:rPr>
            </w:pPr>
            <w:r>
              <w:rPr>
                <w:rFonts w:hint="eastAsia" w:ascii="仿宋" w:eastAsia="仿宋" w:cs="仿宋"/>
                <w:color w:val="000000"/>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jc w:val="center"/>
        </w:trPr>
        <w:tc>
          <w:tcPr>
            <w:tcW w:w="2400" w:type="dxa"/>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color w:val="000000"/>
                <w:kern w:val="0"/>
                <w:sz w:val="32"/>
                <w:szCs w:val="32"/>
                <w:lang w:val="en-US" w:eastAsia="zh-CN"/>
              </w:rPr>
              <w:t>行政强制</w:t>
            </w:r>
          </w:p>
        </w:tc>
        <w:tc>
          <w:tcPr>
            <w:tcW w:w="7200" w:type="dxa"/>
            <w:gridSpan w:val="3"/>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仿宋" w:eastAsia="仿宋" w:cs="仿宋"/>
                <w:sz w:val="32"/>
                <w:szCs w:val="32"/>
                <w:lang w:val="en-US"/>
              </w:rPr>
            </w:pPr>
            <w:r>
              <w:rPr>
                <w:rFonts w:hint="eastAsia" w:ascii="仿宋" w:eastAsia="仿宋" w:cs="仿宋"/>
                <w:color w:val="000000"/>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jc w:val="center"/>
        </w:trPr>
        <w:tc>
          <w:tcPr>
            <w:tcW w:w="9600" w:type="dxa"/>
            <w:gridSpan w:val="4"/>
            <w:tcBorders>
              <w:top w:val="nil"/>
              <w:left w:val="single" w:color="auto" w:sz="8" w:space="0"/>
              <w:bottom w:val="single" w:color="auto" w:sz="8" w:space="0"/>
              <w:right w:val="single" w:color="auto" w:sz="8" w:space="0"/>
            </w:tcBorders>
            <w:shd w:val="clear" w:color="auto" w:fill="C6D9F1"/>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color w:val="000000"/>
                <w:kern w:val="0"/>
                <w:sz w:val="32"/>
                <w:szCs w:val="32"/>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jc w:val="center"/>
        </w:trPr>
        <w:tc>
          <w:tcPr>
            <w:tcW w:w="2400" w:type="dxa"/>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color w:val="000000"/>
                <w:kern w:val="0"/>
                <w:sz w:val="32"/>
                <w:szCs w:val="32"/>
                <w:lang w:val="en-US" w:eastAsia="zh-CN"/>
              </w:rPr>
              <w:t>信息内容</w:t>
            </w:r>
          </w:p>
        </w:tc>
        <w:tc>
          <w:tcPr>
            <w:tcW w:w="7200" w:type="dxa"/>
            <w:gridSpan w:val="3"/>
            <w:tcBorders>
              <w:top w:val="nil"/>
              <w:left w:val="nil"/>
              <w:bottom w:val="single" w:color="auto" w:sz="8" w:space="0"/>
              <w:right w:val="single" w:color="000000"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color w:val="000000"/>
                <w:kern w:val="0"/>
                <w:sz w:val="32"/>
                <w:szCs w:val="32"/>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jc w:val="center"/>
        </w:trPr>
        <w:tc>
          <w:tcPr>
            <w:tcW w:w="2400" w:type="dxa"/>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color w:val="000000"/>
                <w:kern w:val="0"/>
                <w:sz w:val="32"/>
                <w:szCs w:val="32"/>
                <w:lang w:val="en-US" w:eastAsia="zh-CN"/>
              </w:rPr>
              <w:t>行政事业性收费</w:t>
            </w:r>
          </w:p>
        </w:tc>
        <w:tc>
          <w:tcPr>
            <w:tcW w:w="7200" w:type="dxa"/>
            <w:gridSpan w:val="3"/>
            <w:tcBorders>
              <w:top w:val="nil"/>
              <w:left w:val="nil"/>
              <w:bottom w:val="single" w:color="auto" w:sz="8" w:space="0"/>
              <w:right w:val="single" w:color="000000" w:sz="8" w:space="0"/>
            </w:tcBorders>
            <w:noWrap/>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黑体" w:eastAsia="黑体" w:cs="仿宋_GB2312"/>
          <w:color w:val="333333"/>
          <w:kern w:val="2"/>
          <w:sz w:val="32"/>
          <w:szCs w:val="32"/>
        </w:rPr>
      </w:pPr>
      <w:r>
        <w:rPr>
          <w:rFonts w:hint="eastAsia" w:ascii="黑体" w:eastAsia="黑体" w:cs="仿宋_GB2312"/>
          <w:color w:val="333333"/>
          <w:kern w:val="2"/>
          <w:sz w:val="32"/>
          <w:szCs w:val="32"/>
        </w:rPr>
        <w:t>三、收到和处理政府信息公开申请情况</w:t>
      </w:r>
    </w:p>
    <w:tbl>
      <w:tblPr>
        <w:tblStyle w:val="6"/>
        <w:tblW w:w="983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87"/>
        <w:gridCol w:w="1083"/>
        <w:gridCol w:w="3143"/>
        <w:gridCol w:w="689"/>
        <w:gridCol w:w="689"/>
        <w:gridCol w:w="689"/>
        <w:gridCol w:w="689"/>
        <w:gridCol w:w="689"/>
        <w:gridCol w:w="691"/>
        <w:gridCol w:w="69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1" w:hRule="atLeast"/>
          <w:jc w:val="center"/>
        </w:trPr>
        <w:tc>
          <w:tcPr>
            <w:tcW w:w="5013" w:type="dxa"/>
            <w:gridSpan w:val="3"/>
            <w:vMerge w:val="restart"/>
            <w:tcBorders>
              <w:top w:val="single" w:color="auto" w:sz="8" w:space="0"/>
              <w:left w:val="single" w:color="auto" w:sz="8" w:space="0"/>
              <w:bottom w:val="outset"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（本列数据的勾稽关系为：第一项加第二项之和，等于第三项加第四项之和）</w:t>
            </w:r>
          </w:p>
        </w:tc>
        <w:tc>
          <w:tcPr>
            <w:tcW w:w="4826" w:type="dxa"/>
            <w:gridSpan w:val="7"/>
            <w:tcBorders>
              <w:top w:val="single" w:color="auto" w:sz="8" w:space="0"/>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1" w:hRule="atLeast"/>
          <w:jc w:val="center"/>
        </w:trPr>
        <w:tc>
          <w:tcPr>
            <w:tcW w:w="5013" w:type="dxa"/>
            <w:gridSpan w:val="3"/>
            <w:vMerge w:val="continue"/>
            <w:tcBorders>
              <w:top w:val="single" w:color="auto" w:sz="8" w:space="0"/>
              <w:left w:val="single" w:color="auto" w:sz="8" w:space="0"/>
              <w:bottom w:val="outset" w:color="auto" w:sz="8" w:space="0"/>
              <w:right w:val="single" w:color="auto" w:sz="8" w:space="0"/>
            </w:tcBorders>
            <w:noWrap/>
            <w:tcMar>
              <w:left w:w="108" w:type="dxa"/>
              <w:right w:w="108" w:type="dxa"/>
            </w:tcMar>
            <w:vAlign w:val="center"/>
          </w:tcPr>
          <w:p/>
        </w:tc>
        <w:tc>
          <w:tcPr>
            <w:tcW w:w="689" w:type="dxa"/>
            <w:vMerge w:val="restart"/>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自然人</w:t>
            </w:r>
          </w:p>
        </w:tc>
        <w:tc>
          <w:tcPr>
            <w:tcW w:w="3447" w:type="dxa"/>
            <w:gridSpan w:val="5"/>
            <w:tcBorders>
              <w:top w:val="single" w:color="auto" w:sz="8" w:space="0"/>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法人或其他组织</w:t>
            </w:r>
          </w:p>
        </w:tc>
        <w:tc>
          <w:tcPr>
            <w:tcW w:w="690" w:type="dxa"/>
            <w:vMerge w:val="restart"/>
            <w:tcBorders>
              <w:top w:val="single" w:color="auto" w:sz="8" w:space="0"/>
              <w:left w:val="nil"/>
              <w:bottom w:val="outset"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66" w:hRule="atLeast"/>
          <w:jc w:val="center"/>
        </w:trPr>
        <w:tc>
          <w:tcPr>
            <w:tcW w:w="5013" w:type="dxa"/>
            <w:gridSpan w:val="3"/>
            <w:vMerge w:val="continue"/>
            <w:tcBorders>
              <w:top w:val="single" w:color="auto" w:sz="8" w:space="0"/>
              <w:left w:val="single" w:color="auto" w:sz="8" w:space="0"/>
              <w:bottom w:val="outset" w:color="auto" w:sz="8" w:space="0"/>
              <w:right w:val="single" w:color="auto" w:sz="8" w:space="0"/>
            </w:tcBorders>
            <w:noWrap/>
            <w:tcMar>
              <w:left w:w="108" w:type="dxa"/>
              <w:right w:w="108" w:type="dxa"/>
            </w:tcMar>
            <w:vAlign w:val="center"/>
          </w:tcPr>
          <w:p/>
        </w:tc>
        <w:tc>
          <w:tcPr>
            <w:tcW w:w="689" w:type="dxa"/>
            <w:vMerge w:val="continue"/>
            <w:tcBorders>
              <w:top w:val="nil"/>
              <w:left w:val="nil"/>
              <w:bottom w:val="single" w:color="auto" w:sz="8" w:space="0"/>
              <w:right w:val="single" w:color="auto" w:sz="8" w:space="0"/>
            </w:tcBorders>
            <w:noWrap/>
            <w:tcMar>
              <w:left w:w="57" w:type="dxa"/>
              <w:right w:w="57" w:type="dxa"/>
            </w:tcMar>
            <w:vAlign w:val="center"/>
          </w:tcP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企业</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机构</w:t>
            </w:r>
          </w:p>
        </w:tc>
        <w:tc>
          <w:tcPr>
            <w:tcW w:w="689" w:type="dxa"/>
            <w:tcBorders>
              <w:top w:val="single" w:color="auto" w:sz="8" w:space="0"/>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社会公益组织</w:t>
            </w:r>
          </w:p>
        </w:tc>
        <w:tc>
          <w:tcPr>
            <w:tcW w:w="689" w:type="dxa"/>
            <w:tcBorders>
              <w:top w:val="single" w:color="auto" w:sz="8" w:space="0"/>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法律服务机构</w:t>
            </w:r>
          </w:p>
        </w:tc>
        <w:tc>
          <w:tcPr>
            <w:tcW w:w="691" w:type="dxa"/>
            <w:tcBorders>
              <w:top w:val="single" w:color="auto" w:sz="8" w:space="0"/>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其他</w:t>
            </w:r>
          </w:p>
        </w:tc>
        <w:tc>
          <w:tcPr>
            <w:tcW w:w="690" w:type="dxa"/>
            <w:vMerge w:val="continue"/>
            <w:tcBorders>
              <w:top w:val="single" w:color="auto" w:sz="8" w:space="0"/>
              <w:left w:val="nil"/>
              <w:bottom w:val="outset" w:color="auto" w:sz="8" w:space="0"/>
              <w:right w:val="single" w:color="auto" w:sz="8" w:space="0"/>
            </w:tcBorders>
            <w:noWrap/>
            <w:tcMar>
              <w:left w:w="57" w:type="dxa"/>
              <w:right w:w="57" w:type="dxa"/>
            </w:tcMar>
            <w:vAlign w:val="center"/>
          </w:tc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82" w:hRule="atLeast"/>
          <w:jc w:val="center"/>
        </w:trPr>
        <w:tc>
          <w:tcPr>
            <w:tcW w:w="5013" w:type="dxa"/>
            <w:gridSpan w:val="3"/>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一、本年新收政府信息公开申请数量</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仿宋" w:eastAsia="仿宋" w:cs="仿宋"/>
                <w:sz w:val="32"/>
                <w:szCs w:val="32"/>
                <w:lang w:val="en-US"/>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仿宋" w:eastAsia="仿宋" w:cs="仿宋"/>
                <w:sz w:val="32"/>
                <w:szCs w:val="32"/>
                <w:lang w:val="en-US"/>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仿宋" w:eastAsia="仿宋" w:cs="仿宋"/>
                <w:sz w:val="32"/>
                <w:szCs w:val="32"/>
                <w:lang w:val="en-US"/>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0</w:t>
            </w:r>
          </w:p>
        </w:tc>
        <w:tc>
          <w:tcPr>
            <w:tcW w:w="691"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0</w:t>
            </w:r>
          </w:p>
        </w:tc>
        <w:tc>
          <w:tcPr>
            <w:tcW w:w="69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82" w:hRule="atLeast"/>
          <w:jc w:val="center"/>
        </w:trPr>
        <w:tc>
          <w:tcPr>
            <w:tcW w:w="5013" w:type="dxa"/>
            <w:gridSpan w:val="3"/>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二、上年结转政府信息公开申请数量</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仿宋" w:eastAsia="仿宋" w:cs="仿宋"/>
                <w:sz w:val="32"/>
                <w:szCs w:val="32"/>
                <w:lang w:val="en-US"/>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仿宋" w:eastAsia="仿宋" w:cs="仿宋"/>
                <w:sz w:val="32"/>
                <w:szCs w:val="32"/>
                <w:lang w:val="en-US"/>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仿宋" w:eastAsia="仿宋" w:cs="仿宋"/>
                <w:sz w:val="32"/>
                <w:szCs w:val="32"/>
                <w:lang w:val="en-US"/>
              </w:rPr>
            </w:pPr>
            <w:r>
              <w:rPr>
                <w:rFonts w:hint="eastAsia" w:ascii="仿宋" w:eastAsia="仿宋" w:cs="仿宋"/>
                <w:kern w:val="0"/>
                <w:sz w:val="32"/>
                <w:szCs w:val="32"/>
                <w:lang w:val="en-US" w:eastAsia="zh-CN"/>
              </w:rPr>
              <w:t>0</w:t>
            </w:r>
          </w:p>
        </w:tc>
        <w:tc>
          <w:tcPr>
            <w:tcW w:w="691"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0</w:t>
            </w:r>
          </w:p>
        </w:tc>
        <w:tc>
          <w:tcPr>
            <w:tcW w:w="69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36" w:hRule="atLeast"/>
          <w:jc w:val="center"/>
        </w:trPr>
        <w:tc>
          <w:tcPr>
            <w:tcW w:w="787" w:type="dxa"/>
            <w:vMerge w:val="restart"/>
            <w:tcBorders>
              <w:top w:val="nil"/>
              <w:left w:val="single" w:color="auto" w:sz="8" w:space="0"/>
              <w:bottom w:val="outset"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三、本年度办理结果</w:t>
            </w:r>
          </w:p>
        </w:tc>
        <w:tc>
          <w:tcPr>
            <w:tcW w:w="4226" w:type="dxa"/>
            <w:gridSpan w:val="2"/>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（一）予以公开</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仿宋" w:eastAsia="仿宋" w:cs="仿宋"/>
                <w:sz w:val="32"/>
                <w:szCs w:val="32"/>
                <w:lang w:val="en-US"/>
              </w:rPr>
            </w:pPr>
            <w:r>
              <w:rPr>
                <w:rFonts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仿宋" w:eastAsia="仿宋" w:cs="仿宋"/>
                <w:sz w:val="32"/>
                <w:szCs w:val="32"/>
                <w:lang w:val="en-US"/>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0</w:t>
            </w:r>
          </w:p>
        </w:tc>
        <w:tc>
          <w:tcPr>
            <w:tcW w:w="691"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0</w:t>
            </w:r>
          </w:p>
        </w:tc>
        <w:tc>
          <w:tcPr>
            <w:tcW w:w="690" w:type="dxa"/>
            <w:tcBorders>
              <w:top w:val="single" w:color="auto" w:sz="8" w:space="0"/>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sz w:val="32"/>
                <w:szCs w:val="32"/>
              </w:rPr>
            </w:pPr>
            <w:r>
              <w:rPr>
                <w:rFonts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29" w:hRule="atLeast"/>
          <w:jc w:val="center"/>
        </w:trPr>
        <w:tc>
          <w:tcPr>
            <w:tcW w:w="78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tc>
        <w:tc>
          <w:tcPr>
            <w:tcW w:w="4226" w:type="dxa"/>
            <w:gridSpan w:val="2"/>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（二）部分公开（区分处理的，只计这一情形，不计其他情形）</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1"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1" w:hRule="atLeast"/>
          <w:jc w:val="center"/>
        </w:trPr>
        <w:tc>
          <w:tcPr>
            <w:tcW w:w="78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tc>
        <w:tc>
          <w:tcPr>
            <w:tcW w:w="1083" w:type="dxa"/>
            <w:vMerge w:val="restart"/>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（三）不予公开</w:t>
            </w:r>
          </w:p>
        </w:tc>
        <w:tc>
          <w:tcPr>
            <w:tcW w:w="3143"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1.属于国家秘密</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1"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0" w:type="dxa"/>
            <w:tcBorders>
              <w:top w:val="single" w:color="auto" w:sz="8" w:space="0"/>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82" w:hRule="atLeast"/>
          <w:jc w:val="center"/>
        </w:trPr>
        <w:tc>
          <w:tcPr>
            <w:tcW w:w="78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tc>
        <w:tc>
          <w:tcPr>
            <w:tcW w:w="1083" w:type="dxa"/>
            <w:vMerge w:val="continue"/>
            <w:tcBorders>
              <w:top w:val="nil"/>
              <w:left w:val="nil"/>
              <w:bottom w:val="outset" w:color="auto" w:sz="8" w:space="0"/>
              <w:right w:val="single" w:color="auto" w:sz="8" w:space="0"/>
            </w:tcBorders>
            <w:noWrap/>
            <w:tcMar>
              <w:left w:w="57" w:type="dxa"/>
              <w:right w:w="57" w:type="dxa"/>
            </w:tcMar>
            <w:vAlign w:val="center"/>
          </w:tcPr>
          <w:p/>
        </w:tc>
        <w:tc>
          <w:tcPr>
            <w:tcW w:w="3143"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2.其他法律行政法规禁止公开</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1"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82" w:hRule="atLeast"/>
          <w:jc w:val="center"/>
        </w:trPr>
        <w:tc>
          <w:tcPr>
            <w:tcW w:w="78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tc>
        <w:tc>
          <w:tcPr>
            <w:tcW w:w="1083" w:type="dxa"/>
            <w:vMerge w:val="continue"/>
            <w:tcBorders>
              <w:top w:val="nil"/>
              <w:left w:val="nil"/>
              <w:bottom w:val="outset" w:color="auto" w:sz="8" w:space="0"/>
              <w:right w:val="single" w:color="auto" w:sz="8" w:space="0"/>
            </w:tcBorders>
            <w:noWrap/>
            <w:tcMar>
              <w:left w:w="57" w:type="dxa"/>
              <w:right w:w="57" w:type="dxa"/>
            </w:tcMar>
            <w:vAlign w:val="center"/>
          </w:tcPr>
          <w:p/>
        </w:tc>
        <w:tc>
          <w:tcPr>
            <w:tcW w:w="3143"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3.危及“三安全一稳定”</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1"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82" w:hRule="atLeast"/>
          <w:jc w:val="center"/>
        </w:trPr>
        <w:tc>
          <w:tcPr>
            <w:tcW w:w="78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tc>
        <w:tc>
          <w:tcPr>
            <w:tcW w:w="1083" w:type="dxa"/>
            <w:vMerge w:val="continue"/>
            <w:tcBorders>
              <w:top w:val="nil"/>
              <w:left w:val="nil"/>
              <w:bottom w:val="outset" w:color="auto" w:sz="8" w:space="0"/>
              <w:right w:val="single" w:color="auto" w:sz="8" w:space="0"/>
            </w:tcBorders>
            <w:noWrap/>
            <w:tcMar>
              <w:left w:w="57" w:type="dxa"/>
              <w:right w:w="57" w:type="dxa"/>
            </w:tcMar>
            <w:vAlign w:val="center"/>
          </w:tcPr>
          <w:p/>
        </w:tc>
        <w:tc>
          <w:tcPr>
            <w:tcW w:w="3143"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4.保护第三方合法权益</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1"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82" w:hRule="atLeast"/>
          <w:jc w:val="center"/>
        </w:trPr>
        <w:tc>
          <w:tcPr>
            <w:tcW w:w="78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tc>
        <w:tc>
          <w:tcPr>
            <w:tcW w:w="1083" w:type="dxa"/>
            <w:vMerge w:val="continue"/>
            <w:tcBorders>
              <w:top w:val="nil"/>
              <w:left w:val="nil"/>
              <w:bottom w:val="outset" w:color="auto" w:sz="8" w:space="0"/>
              <w:right w:val="single" w:color="auto" w:sz="8" w:space="0"/>
            </w:tcBorders>
            <w:noWrap/>
            <w:tcMar>
              <w:left w:w="57" w:type="dxa"/>
              <w:right w:w="57" w:type="dxa"/>
            </w:tcMar>
            <w:vAlign w:val="center"/>
          </w:tcPr>
          <w:p/>
        </w:tc>
        <w:tc>
          <w:tcPr>
            <w:tcW w:w="3143"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5.属于三类内部事务信息</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1"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82" w:hRule="atLeast"/>
          <w:jc w:val="center"/>
        </w:trPr>
        <w:tc>
          <w:tcPr>
            <w:tcW w:w="78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tc>
        <w:tc>
          <w:tcPr>
            <w:tcW w:w="1083" w:type="dxa"/>
            <w:vMerge w:val="continue"/>
            <w:tcBorders>
              <w:top w:val="nil"/>
              <w:left w:val="nil"/>
              <w:bottom w:val="outset" w:color="auto" w:sz="8" w:space="0"/>
              <w:right w:val="single" w:color="auto" w:sz="8" w:space="0"/>
            </w:tcBorders>
            <w:noWrap/>
            <w:tcMar>
              <w:left w:w="57" w:type="dxa"/>
              <w:right w:w="57" w:type="dxa"/>
            </w:tcMar>
            <w:vAlign w:val="center"/>
          </w:tcPr>
          <w:p/>
        </w:tc>
        <w:tc>
          <w:tcPr>
            <w:tcW w:w="3143"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6.属于四类过程性信息</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1"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1" w:hRule="atLeast"/>
          <w:jc w:val="center"/>
        </w:trPr>
        <w:tc>
          <w:tcPr>
            <w:tcW w:w="78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tc>
        <w:tc>
          <w:tcPr>
            <w:tcW w:w="1083" w:type="dxa"/>
            <w:vMerge w:val="continue"/>
            <w:tcBorders>
              <w:top w:val="nil"/>
              <w:left w:val="nil"/>
              <w:bottom w:val="outset" w:color="auto" w:sz="8" w:space="0"/>
              <w:right w:val="single" w:color="auto" w:sz="8" w:space="0"/>
            </w:tcBorders>
            <w:noWrap/>
            <w:tcMar>
              <w:left w:w="57" w:type="dxa"/>
              <w:right w:w="57" w:type="dxa"/>
            </w:tcMar>
            <w:vAlign w:val="center"/>
          </w:tcPr>
          <w:p/>
        </w:tc>
        <w:tc>
          <w:tcPr>
            <w:tcW w:w="3143"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7.属于行政执法案卷</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1"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1" w:hRule="atLeast"/>
          <w:jc w:val="center"/>
        </w:trPr>
        <w:tc>
          <w:tcPr>
            <w:tcW w:w="78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tc>
        <w:tc>
          <w:tcPr>
            <w:tcW w:w="1083" w:type="dxa"/>
            <w:vMerge w:val="continue"/>
            <w:tcBorders>
              <w:top w:val="nil"/>
              <w:left w:val="nil"/>
              <w:bottom w:val="outset" w:color="auto" w:sz="8" w:space="0"/>
              <w:right w:val="single" w:color="auto" w:sz="8" w:space="0"/>
            </w:tcBorders>
            <w:noWrap/>
            <w:tcMar>
              <w:left w:w="57" w:type="dxa"/>
              <w:right w:w="57" w:type="dxa"/>
            </w:tcMar>
            <w:vAlign w:val="center"/>
          </w:tcPr>
          <w:p/>
        </w:tc>
        <w:tc>
          <w:tcPr>
            <w:tcW w:w="3143"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8.属于行政查询事项</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1"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82" w:hRule="atLeast"/>
          <w:jc w:val="center"/>
        </w:trPr>
        <w:tc>
          <w:tcPr>
            <w:tcW w:w="78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tc>
        <w:tc>
          <w:tcPr>
            <w:tcW w:w="1083" w:type="dxa"/>
            <w:vMerge w:val="restart"/>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（四）无法提供</w:t>
            </w:r>
          </w:p>
        </w:tc>
        <w:tc>
          <w:tcPr>
            <w:tcW w:w="3143"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1.本机关不掌握相关政府信息</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1"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82" w:hRule="atLeast"/>
          <w:jc w:val="center"/>
        </w:trPr>
        <w:tc>
          <w:tcPr>
            <w:tcW w:w="78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tc>
        <w:tc>
          <w:tcPr>
            <w:tcW w:w="1083" w:type="dxa"/>
            <w:vMerge w:val="continue"/>
            <w:tcBorders>
              <w:top w:val="nil"/>
              <w:left w:val="nil"/>
              <w:bottom w:val="outset" w:color="auto" w:sz="8" w:space="0"/>
              <w:right w:val="single" w:color="auto" w:sz="8" w:space="0"/>
            </w:tcBorders>
            <w:noWrap/>
            <w:tcMar>
              <w:left w:w="57" w:type="dxa"/>
              <w:right w:w="57" w:type="dxa"/>
            </w:tcMar>
            <w:vAlign w:val="center"/>
          </w:tcPr>
          <w:p/>
        </w:tc>
        <w:tc>
          <w:tcPr>
            <w:tcW w:w="3143"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2.没有现成信息需要另行制作</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1"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82" w:hRule="atLeast"/>
          <w:jc w:val="center"/>
        </w:trPr>
        <w:tc>
          <w:tcPr>
            <w:tcW w:w="78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tc>
        <w:tc>
          <w:tcPr>
            <w:tcW w:w="1083" w:type="dxa"/>
            <w:vMerge w:val="continue"/>
            <w:tcBorders>
              <w:top w:val="nil"/>
              <w:left w:val="nil"/>
              <w:bottom w:val="outset" w:color="auto" w:sz="8" w:space="0"/>
              <w:right w:val="single" w:color="auto" w:sz="8" w:space="0"/>
            </w:tcBorders>
            <w:noWrap/>
            <w:tcMar>
              <w:left w:w="57" w:type="dxa"/>
              <w:right w:w="57" w:type="dxa"/>
            </w:tcMar>
            <w:vAlign w:val="center"/>
          </w:tcPr>
          <w:p/>
        </w:tc>
        <w:tc>
          <w:tcPr>
            <w:tcW w:w="3143"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3.补正后申请内容仍不明确</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1"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82" w:hRule="atLeast"/>
          <w:jc w:val="center"/>
        </w:trPr>
        <w:tc>
          <w:tcPr>
            <w:tcW w:w="78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tc>
        <w:tc>
          <w:tcPr>
            <w:tcW w:w="1083" w:type="dxa"/>
            <w:vMerge w:val="restart"/>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（五）不予处理</w:t>
            </w:r>
          </w:p>
        </w:tc>
        <w:tc>
          <w:tcPr>
            <w:tcW w:w="3143"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1.信访举报投诉类申请</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1"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1" w:hRule="atLeast"/>
          <w:jc w:val="center"/>
        </w:trPr>
        <w:tc>
          <w:tcPr>
            <w:tcW w:w="78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tc>
        <w:tc>
          <w:tcPr>
            <w:tcW w:w="1083" w:type="dxa"/>
            <w:vMerge w:val="continue"/>
            <w:tcBorders>
              <w:top w:val="nil"/>
              <w:left w:val="nil"/>
              <w:bottom w:val="outset" w:color="auto" w:sz="8" w:space="0"/>
              <w:right w:val="single" w:color="auto" w:sz="8" w:space="0"/>
            </w:tcBorders>
            <w:noWrap/>
            <w:tcMar>
              <w:left w:w="57" w:type="dxa"/>
              <w:right w:w="57" w:type="dxa"/>
            </w:tcMar>
            <w:vAlign w:val="center"/>
          </w:tcPr>
          <w:p/>
        </w:tc>
        <w:tc>
          <w:tcPr>
            <w:tcW w:w="3143"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2.重复申请</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1"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43" w:hRule="atLeast"/>
          <w:jc w:val="center"/>
        </w:trPr>
        <w:tc>
          <w:tcPr>
            <w:tcW w:w="78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tc>
        <w:tc>
          <w:tcPr>
            <w:tcW w:w="1083" w:type="dxa"/>
            <w:vMerge w:val="continue"/>
            <w:tcBorders>
              <w:top w:val="nil"/>
              <w:left w:val="nil"/>
              <w:bottom w:val="outset" w:color="auto" w:sz="8" w:space="0"/>
              <w:right w:val="single" w:color="auto" w:sz="8" w:space="0"/>
            </w:tcBorders>
            <w:noWrap/>
            <w:tcMar>
              <w:left w:w="57" w:type="dxa"/>
              <w:right w:w="57" w:type="dxa"/>
            </w:tcMar>
            <w:vAlign w:val="center"/>
          </w:tcPr>
          <w:p/>
        </w:tc>
        <w:tc>
          <w:tcPr>
            <w:tcW w:w="3143"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3.要求提供公开出版物</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1"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82" w:hRule="atLeast"/>
          <w:jc w:val="center"/>
        </w:trPr>
        <w:tc>
          <w:tcPr>
            <w:tcW w:w="78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tc>
        <w:tc>
          <w:tcPr>
            <w:tcW w:w="1083" w:type="dxa"/>
            <w:vMerge w:val="continue"/>
            <w:tcBorders>
              <w:top w:val="nil"/>
              <w:left w:val="nil"/>
              <w:bottom w:val="outset" w:color="auto" w:sz="8" w:space="0"/>
              <w:right w:val="single" w:color="auto" w:sz="8" w:space="0"/>
            </w:tcBorders>
            <w:noWrap/>
            <w:tcMar>
              <w:left w:w="57" w:type="dxa"/>
              <w:right w:w="57" w:type="dxa"/>
            </w:tcMar>
            <w:vAlign w:val="center"/>
          </w:tcPr>
          <w:p/>
        </w:tc>
        <w:tc>
          <w:tcPr>
            <w:tcW w:w="3143"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4.无正当理由大量反复申请</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1"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04" w:hRule="atLeast"/>
          <w:jc w:val="center"/>
        </w:trPr>
        <w:tc>
          <w:tcPr>
            <w:tcW w:w="78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tc>
        <w:tc>
          <w:tcPr>
            <w:tcW w:w="1083" w:type="dxa"/>
            <w:vMerge w:val="continue"/>
            <w:tcBorders>
              <w:top w:val="nil"/>
              <w:left w:val="nil"/>
              <w:bottom w:val="outset" w:color="auto" w:sz="8" w:space="0"/>
              <w:right w:val="single" w:color="auto" w:sz="8" w:space="0"/>
            </w:tcBorders>
            <w:noWrap/>
            <w:tcMar>
              <w:left w:w="57" w:type="dxa"/>
              <w:right w:w="57" w:type="dxa"/>
            </w:tcMar>
            <w:vAlign w:val="center"/>
          </w:tcPr>
          <w:p/>
        </w:tc>
        <w:tc>
          <w:tcPr>
            <w:tcW w:w="3143" w:type="dxa"/>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eastAsia="仿宋" w:cs="仿宋"/>
                <w:sz w:val="32"/>
                <w:szCs w:val="32"/>
              </w:rPr>
            </w:pPr>
            <w:r>
              <w:rPr>
                <w:rFonts w:hint="eastAsia" w:ascii="仿宋" w:eastAsia="仿宋" w:cs="仿宋"/>
                <w:kern w:val="0"/>
                <w:sz w:val="32"/>
                <w:szCs w:val="32"/>
                <w:lang w:val="en-US" w:eastAsia="zh-CN"/>
              </w:rPr>
              <w:t>5.要求行政机关确认或重新出具已获取信息</w:t>
            </w:r>
          </w:p>
        </w:tc>
        <w:tc>
          <w:tcPr>
            <w:tcW w:w="689" w:type="dxa"/>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1" w:type="dxa"/>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0" w:type="dxa"/>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524" w:hRule="atLeast"/>
          <w:jc w:val="center"/>
        </w:trPr>
        <w:tc>
          <w:tcPr>
            <w:tcW w:w="78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tc>
        <w:tc>
          <w:tcPr>
            <w:tcW w:w="1083" w:type="dxa"/>
            <w:vMerge w:val="restart"/>
            <w:tcBorders>
              <w:top w:val="outset" w:color="auto" w:sz="8" w:space="0"/>
              <w:left w:val="nil"/>
              <w:bottom w:val="outset"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（六）其他处理</w:t>
            </w:r>
          </w:p>
        </w:tc>
        <w:tc>
          <w:tcPr>
            <w:tcW w:w="3143"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eastAsia="仿宋" w:cs="仿宋"/>
                <w:sz w:val="32"/>
                <w:szCs w:val="32"/>
              </w:rPr>
            </w:pPr>
            <w:r>
              <w:rPr>
                <w:rFonts w:hint="eastAsia" w:ascii="仿宋" w:eastAsia="仿宋" w:cs="仿宋"/>
                <w:kern w:val="0"/>
                <w:sz w:val="32"/>
                <w:szCs w:val="32"/>
                <w:lang w:val="en-US" w:eastAsia="zh-CN"/>
              </w:rPr>
              <w:t>1.申请人无正当理由逾期不补正、行政机关不再处理其政府信息公开申请</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1"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46" w:hRule="atLeast"/>
          <w:jc w:val="center"/>
        </w:trPr>
        <w:tc>
          <w:tcPr>
            <w:tcW w:w="78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tc>
        <w:tc>
          <w:tcPr>
            <w:tcW w:w="1083" w:type="dxa"/>
            <w:vMerge w:val="continue"/>
            <w:tcBorders>
              <w:top w:val="outset" w:color="auto" w:sz="8" w:space="0"/>
              <w:left w:val="nil"/>
              <w:bottom w:val="outset" w:color="auto" w:sz="8" w:space="0"/>
              <w:right w:val="single" w:color="auto" w:sz="8" w:space="0"/>
            </w:tcBorders>
            <w:noWrap/>
            <w:tcMar>
              <w:left w:w="57" w:type="dxa"/>
              <w:right w:w="57" w:type="dxa"/>
            </w:tcMar>
            <w:vAlign w:val="center"/>
          </w:tcPr>
          <w:p/>
        </w:tc>
        <w:tc>
          <w:tcPr>
            <w:tcW w:w="3143"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eastAsia="仿宋" w:cs="仿宋"/>
                <w:sz w:val="32"/>
                <w:szCs w:val="32"/>
              </w:rPr>
            </w:pPr>
            <w:r>
              <w:rPr>
                <w:rFonts w:hint="eastAsia" w:ascii="仿宋" w:eastAsia="仿宋" w:cs="仿宋"/>
                <w:kern w:val="0"/>
                <w:sz w:val="32"/>
                <w:szCs w:val="32"/>
                <w:lang w:val="en-US" w:eastAsia="zh-CN"/>
              </w:rPr>
              <w:t>2.申请人逾期未按收费通知要求缴纳费用、行政机关不再处理其政府信息公开申请</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1"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1" w:hRule="atLeast"/>
          <w:jc w:val="center"/>
        </w:trPr>
        <w:tc>
          <w:tcPr>
            <w:tcW w:w="78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tc>
        <w:tc>
          <w:tcPr>
            <w:tcW w:w="1083" w:type="dxa"/>
            <w:vMerge w:val="continue"/>
            <w:tcBorders>
              <w:top w:val="outset" w:color="auto" w:sz="8" w:space="0"/>
              <w:left w:val="nil"/>
              <w:bottom w:val="outset" w:color="auto" w:sz="8" w:space="0"/>
              <w:right w:val="single" w:color="auto" w:sz="8" w:space="0"/>
            </w:tcBorders>
            <w:noWrap/>
            <w:tcMar>
              <w:left w:w="57" w:type="dxa"/>
              <w:right w:w="57" w:type="dxa"/>
            </w:tcMar>
            <w:vAlign w:val="center"/>
          </w:tcPr>
          <w:p/>
        </w:tc>
        <w:tc>
          <w:tcPr>
            <w:tcW w:w="3143"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3.其他</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仿宋" w:eastAsia="仿宋" w:cs="仿宋"/>
                <w:kern w:val="2"/>
                <w:sz w:val="32"/>
                <w:szCs w:val="32"/>
                <w:lang w:val="en-US" w:eastAsia="zh-CN" w:bidi="ar-SA"/>
              </w:rPr>
            </w:pPr>
            <w:r>
              <w:rPr>
                <w:rFonts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1"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仿宋" w:eastAsia="仿宋" w:cs="仿宋"/>
                <w:kern w:val="2"/>
                <w:sz w:val="32"/>
                <w:szCs w:val="32"/>
                <w:lang w:val="en-US" w:eastAsia="zh-CN" w:bidi="ar-SA"/>
              </w:rPr>
            </w:pPr>
            <w:r>
              <w:rPr>
                <w:rFonts w:ascii="仿宋" w:eastAsia="仿宋" w:cs="仿宋"/>
                <w:kern w:val="2"/>
                <w:sz w:val="32"/>
                <w:szCs w:val="32"/>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1" w:hRule="atLeast"/>
          <w:jc w:val="center"/>
        </w:trPr>
        <w:tc>
          <w:tcPr>
            <w:tcW w:w="78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tc>
        <w:tc>
          <w:tcPr>
            <w:tcW w:w="4226" w:type="dxa"/>
            <w:gridSpan w:val="2"/>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（七）总计</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1"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ascii="仿宋" w:eastAsia="仿宋" w:cs="仿宋"/>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5013" w:type="dxa"/>
            <w:gridSpan w:val="3"/>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eastAsia="仿宋" w:cs="仿宋"/>
                <w:sz w:val="32"/>
                <w:szCs w:val="32"/>
              </w:rPr>
            </w:pPr>
            <w:r>
              <w:rPr>
                <w:rFonts w:hint="eastAsia" w:ascii="仿宋" w:eastAsia="仿宋" w:cs="仿宋"/>
                <w:kern w:val="0"/>
                <w:sz w:val="32"/>
                <w:szCs w:val="32"/>
                <w:lang w:val="en-US" w:eastAsia="zh-CN"/>
              </w:rPr>
              <w:t>四、结转下年度继续办理</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1"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c>
          <w:tcPr>
            <w:tcW w:w="690"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eastAsia="仿宋" w:cs="仿宋"/>
                <w:kern w:val="2"/>
                <w:sz w:val="32"/>
                <w:szCs w:val="32"/>
                <w:lang w:val="en-US" w:eastAsia="zh-CN" w:bidi="ar-SA"/>
              </w:rPr>
            </w:pPr>
            <w:r>
              <w:rPr>
                <w:rFonts w:hint="eastAsia" w:ascii="仿宋" w:eastAsia="仿宋" w:cs="仿宋"/>
                <w:kern w:val="0"/>
                <w:sz w:val="32"/>
                <w:szCs w:val="32"/>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ascii="黑体" w:eastAsia="黑体" w:cs="黑体"/>
          <w:b w:val="0"/>
          <w:bCs w:val="0"/>
          <w:i w:val="0"/>
          <w:iCs w:val="0"/>
          <w:caps w:val="0"/>
          <w:smallCaps w:val="0"/>
          <w:color w:val="333333"/>
          <w:spacing w:val="0"/>
          <w:sz w:val="32"/>
          <w:szCs w:val="32"/>
          <w:shd w:val="clear" w:color="auto" w:fill="FFFFFF"/>
        </w:rPr>
      </w:pPr>
      <w:r>
        <w:rPr>
          <w:rFonts w:ascii="黑体" w:eastAsia="黑体" w:cs="黑体"/>
          <w:b w:val="0"/>
          <w:bCs w:val="0"/>
          <w:i w:val="0"/>
          <w:iCs w:val="0"/>
          <w:caps w:val="0"/>
          <w:smallCaps w:val="0"/>
          <w:color w:val="333333"/>
          <w:spacing w:val="0"/>
          <w:sz w:val="32"/>
          <w:szCs w:val="32"/>
          <w:shd w:val="clear" w:color="auto" w:fill="FFFFFF"/>
        </w:rPr>
        <w:t>四、政府信息公开行政复议、行政诉讼情况</w:t>
      </w:r>
    </w:p>
    <w:tbl>
      <w:tblPr>
        <w:tblStyle w:val="6"/>
        <w:tblW w:w="975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52"/>
        <w:gridCol w:w="649"/>
        <w:gridCol w:w="649"/>
        <w:gridCol w:w="650"/>
        <w:gridCol w:w="650"/>
        <w:gridCol w:w="653"/>
        <w:gridCol w:w="651"/>
        <w:gridCol w:w="651"/>
        <w:gridCol w:w="651"/>
        <w:gridCol w:w="651"/>
        <w:gridCol w:w="65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9" w:hRule="atLeast"/>
          <w:jc w:val="center"/>
        </w:trPr>
        <w:tc>
          <w:tcPr>
            <w:tcW w:w="3248" w:type="dxa"/>
            <w:gridSpan w:val="5"/>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行政复议</w:t>
            </w:r>
          </w:p>
        </w:tc>
        <w:tc>
          <w:tcPr>
            <w:tcW w:w="6511" w:type="dxa"/>
            <w:gridSpan w:val="10"/>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9" w:hRule="atLeast"/>
          <w:jc w:val="center"/>
        </w:trPr>
        <w:tc>
          <w:tcPr>
            <w:tcW w:w="649" w:type="dxa"/>
            <w:vMerge w:val="restart"/>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结果维持</w:t>
            </w:r>
          </w:p>
        </w:tc>
        <w:tc>
          <w:tcPr>
            <w:tcW w:w="649" w:type="dxa"/>
            <w:vMerge w:val="restart"/>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结果</w:t>
            </w:r>
            <w:r>
              <w:rPr>
                <w:rFonts w:hint="eastAsia" w:ascii="仿宋" w:eastAsia="仿宋" w:cs="仿宋"/>
                <w:kern w:val="0"/>
                <w:sz w:val="32"/>
                <w:szCs w:val="32"/>
                <w:lang w:val="en-US" w:eastAsia="zh-CN"/>
              </w:rPr>
              <w:br w:type="textWrapping"/>
            </w:r>
            <w:r>
              <w:rPr>
                <w:rFonts w:hint="eastAsia" w:ascii="仿宋" w:eastAsia="仿宋" w:cs="仿宋"/>
                <w:kern w:val="0"/>
                <w:sz w:val="32"/>
                <w:szCs w:val="32"/>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其他</w:t>
            </w:r>
            <w:r>
              <w:rPr>
                <w:rFonts w:hint="eastAsia" w:ascii="仿宋" w:eastAsia="仿宋" w:cs="仿宋"/>
                <w:kern w:val="0"/>
                <w:sz w:val="32"/>
                <w:szCs w:val="32"/>
                <w:lang w:val="en-US" w:eastAsia="zh-CN"/>
              </w:rPr>
              <w:br w:type="textWrapping"/>
            </w:r>
            <w:r>
              <w:rPr>
                <w:rFonts w:hint="eastAsia" w:ascii="仿宋" w:eastAsia="仿宋" w:cs="仿宋"/>
                <w:kern w:val="0"/>
                <w:sz w:val="32"/>
                <w:szCs w:val="32"/>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尚未</w:t>
            </w:r>
            <w:r>
              <w:rPr>
                <w:rFonts w:hint="eastAsia" w:ascii="仿宋" w:eastAsia="仿宋" w:cs="仿宋"/>
                <w:kern w:val="0"/>
                <w:sz w:val="32"/>
                <w:szCs w:val="32"/>
                <w:lang w:val="en-US" w:eastAsia="zh-CN"/>
              </w:rPr>
              <w:br w:type="textWrapping"/>
            </w:r>
            <w:r>
              <w:rPr>
                <w:rFonts w:hint="eastAsia" w:ascii="仿宋" w:eastAsia="仿宋" w:cs="仿宋"/>
                <w:kern w:val="0"/>
                <w:sz w:val="32"/>
                <w:szCs w:val="32"/>
                <w:lang w:val="en-US" w:eastAsia="zh-CN"/>
              </w:rPr>
              <w:t>审结</w:t>
            </w:r>
          </w:p>
        </w:tc>
        <w:tc>
          <w:tcPr>
            <w:tcW w:w="652" w:type="dxa"/>
            <w:vMerge w:val="restart"/>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总计</w:t>
            </w:r>
          </w:p>
        </w:tc>
        <w:tc>
          <w:tcPr>
            <w:tcW w:w="3251" w:type="dxa"/>
            <w:gridSpan w:val="5"/>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未经复议直接起诉</w:t>
            </w:r>
          </w:p>
        </w:tc>
        <w:tc>
          <w:tcPr>
            <w:tcW w:w="3260" w:type="dxa"/>
            <w:gridSpan w:val="5"/>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689" w:hRule="atLeast"/>
          <w:jc w:val="center"/>
        </w:trPr>
        <w:tc>
          <w:tcPr>
            <w:tcW w:w="649" w:type="dxa"/>
            <w:vMerge w:val="continue"/>
            <w:tcBorders>
              <w:top w:val="nil"/>
              <w:left w:val="single" w:color="auto" w:sz="8" w:space="0"/>
              <w:bottom w:val="single" w:color="auto" w:sz="8" w:space="0"/>
              <w:right w:val="single" w:color="auto" w:sz="8" w:space="0"/>
            </w:tcBorders>
            <w:noWrap/>
            <w:tcMar>
              <w:left w:w="108" w:type="dxa"/>
              <w:right w:w="108" w:type="dxa"/>
            </w:tcMar>
            <w:vAlign w:val="center"/>
          </w:tcPr>
          <w:p/>
        </w:tc>
        <w:tc>
          <w:tcPr>
            <w:tcW w:w="649" w:type="dxa"/>
            <w:vMerge w:val="continue"/>
            <w:tcBorders>
              <w:top w:val="nil"/>
              <w:left w:val="single" w:color="auto" w:sz="8" w:space="0"/>
              <w:bottom w:val="single" w:color="auto" w:sz="8" w:space="0"/>
              <w:right w:val="single" w:color="auto" w:sz="8" w:space="0"/>
            </w:tcBorders>
            <w:noWrap/>
            <w:tcMar>
              <w:left w:w="108" w:type="dxa"/>
              <w:right w:w="108" w:type="dxa"/>
            </w:tcMar>
            <w:vAlign w:val="center"/>
          </w:tcPr>
          <w:p/>
        </w:tc>
        <w:tc>
          <w:tcPr>
            <w:tcW w:w="649" w:type="dxa"/>
            <w:vMerge w:val="continue"/>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tc>
        <w:tc>
          <w:tcPr>
            <w:tcW w:w="649" w:type="dxa"/>
            <w:vMerge w:val="continue"/>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tc>
        <w:tc>
          <w:tcPr>
            <w:tcW w:w="652" w:type="dxa"/>
            <w:vMerge w:val="continue"/>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tc>
        <w:tc>
          <w:tcPr>
            <w:tcW w:w="649"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结果</w:t>
            </w:r>
            <w:r>
              <w:rPr>
                <w:rFonts w:hint="eastAsia" w:ascii="仿宋" w:eastAsia="仿宋" w:cs="仿宋"/>
                <w:kern w:val="0"/>
                <w:sz w:val="32"/>
                <w:szCs w:val="32"/>
                <w:lang w:val="en-US" w:eastAsia="zh-CN"/>
              </w:rPr>
              <w:br w:type="textWrapping"/>
            </w:r>
            <w:r>
              <w:rPr>
                <w:rFonts w:hint="eastAsia" w:ascii="仿宋" w:eastAsia="仿宋" w:cs="仿宋"/>
                <w:kern w:val="0"/>
                <w:sz w:val="32"/>
                <w:szCs w:val="32"/>
                <w:lang w:val="en-US" w:eastAsia="zh-CN"/>
              </w:rPr>
              <w:t>维持</w:t>
            </w:r>
          </w:p>
        </w:tc>
        <w:tc>
          <w:tcPr>
            <w:tcW w:w="649"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结果</w:t>
            </w:r>
            <w:r>
              <w:rPr>
                <w:rFonts w:hint="eastAsia" w:ascii="仿宋" w:eastAsia="仿宋" w:cs="仿宋"/>
                <w:kern w:val="0"/>
                <w:sz w:val="32"/>
                <w:szCs w:val="32"/>
                <w:lang w:val="en-US" w:eastAsia="zh-CN"/>
              </w:rPr>
              <w:br w:type="textWrapping"/>
            </w:r>
            <w:r>
              <w:rPr>
                <w:rFonts w:hint="eastAsia" w:ascii="仿宋" w:eastAsia="仿宋" w:cs="仿宋"/>
                <w:kern w:val="0"/>
                <w:sz w:val="32"/>
                <w:szCs w:val="32"/>
                <w:lang w:val="en-US" w:eastAsia="zh-CN"/>
              </w:rPr>
              <w:t>纠正</w:t>
            </w:r>
          </w:p>
        </w:tc>
        <w:tc>
          <w:tcPr>
            <w:tcW w:w="650"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其他</w:t>
            </w:r>
            <w:r>
              <w:rPr>
                <w:rFonts w:hint="eastAsia" w:ascii="仿宋" w:eastAsia="仿宋" w:cs="仿宋"/>
                <w:kern w:val="0"/>
                <w:sz w:val="32"/>
                <w:szCs w:val="32"/>
                <w:lang w:val="en-US" w:eastAsia="zh-CN"/>
              </w:rPr>
              <w:br w:type="textWrapping"/>
            </w:r>
            <w:r>
              <w:rPr>
                <w:rFonts w:hint="eastAsia" w:ascii="仿宋" w:eastAsia="仿宋" w:cs="仿宋"/>
                <w:kern w:val="0"/>
                <w:sz w:val="32"/>
                <w:szCs w:val="32"/>
                <w:lang w:val="en-US" w:eastAsia="zh-CN"/>
              </w:rPr>
              <w:t>结果</w:t>
            </w:r>
          </w:p>
        </w:tc>
        <w:tc>
          <w:tcPr>
            <w:tcW w:w="650"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尚未</w:t>
            </w:r>
            <w:r>
              <w:rPr>
                <w:rFonts w:hint="eastAsia" w:ascii="仿宋" w:eastAsia="仿宋" w:cs="仿宋"/>
                <w:kern w:val="0"/>
                <w:sz w:val="32"/>
                <w:szCs w:val="32"/>
                <w:lang w:val="en-US" w:eastAsia="zh-CN"/>
              </w:rPr>
              <w:br w:type="textWrapping"/>
            </w:r>
            <w:r>
              <w:rPr>
                <w:rFonts w:hint="eastAsia" w:ascii="仿宋" w:eastAsia="仿宋" w:cs="仿宋"/>
                <w:kern w:val="0"/>
                <w:sz w:val="32"/>
                <w:szCs w:val="32"/>
                <w:lang w:val="en-US" w:eastAsia="zh-CN"/>
              </w:rPr>
              <w:t>审结</w:t>
            </w:r>
          </w:p>
        </w:tc>
        <w:tc>
          <w:tcPr>
            <w:tcW w:w="65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color w:val="000000"/>
                <w:kern w:val="0"/>
                <w:sz w:val="32"/>
                <w:szCs w:val="32"/>
                <w:lang w:val="en-US" w:eastAsia="zh-CN"/>
              </w:rPr>
              <w:t>总计</w:t>
            </w:r>
          </w:p>
        </w:tc>
        <w:tc>
          <w:tcPr>
            <w:tcW w:w="651"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结果</w:t>
            </w:r>
            <w:r>
              <w:rPr>
                <w:rFonts w:hint="eastAsia" w:ascii="仿宋" w:eastAsia="仿宋" w:cs="仿宋"/>
                <w:kern w:val="0"/>
                <w:sz w:val="32"/>
                <w:szCs w:val="32"/>
                <w:lang w:val="en-US" w:eastAsia="zh-CN"/>
              </w:rPr>
              <w:br w:type="textWrapping"/>
            </w:r>
            <w:r>
              <w:rPr>
                <w:rFonts w:hint="eastAsia" w:ascii="仿宋" w:eastAsia="仿宋" w:cs="仿宋"/>
                <w:kern w:val="0"/>
                <w:sz w:val="32"/>
                <w:szCs w:val="32"/>
                <w:lang w:val="en-US" w:eastAsia="zh-CN"/>
              </w:rPr>
              <w:t>维持</w:t>
            </w:r>
          </w:p>
        </w:tc>
        <w:tc>
          <w:tcPr>
            <w:tcW w:w="651"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结果</w:t>
            </w:r>
            <w:r>
              <w:rPr>
                <w:rFonts w:hint="eastAsia" w:ascii="仿宋" w:eastAsia="仿宋" w:cs="仿宋"/>
                <w:kern w:val="0"/>
                <w:sz w:val="32"/>
                <w:szCs w:val="32"/>
                <w:lang w:val="en-US" w:eastAsia="zh-CN"/>
              </w:rPr>
              <w:br w:type="textWrapping"/>
            </w:r>
            <w:r>
              <w:rPr>
                <w:rFonts w:hint="eastAsia" w:ascii="仿宋" w:eastAsia="仿宋" w:cs="仿宋"/>
                <w:kern w:val="0"/>
                <w:sz w:val="32"/>
                <w:szCs w:val="32"/>
                <w:lang w:val="en-US" w:eastAsia="zh-CN"/>
              </w:rPr>
              <w:t>纠正</w:t>
            </w:r>
          </w:p>
        </w:tc>
        <w:tc>
          <w:tcPr>
            <w:tcW w:w="651"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color w:val="000000"/>
                <w:kern w:val="0"/>
                <w:sz w:val="32"/>
                <w:szCs w:val="32"/>
                <w:lang w:val="en-US" w:eastAsia="zh-CN"/>
              </w:rPr>
              <w:t>其他</w:t>
            </w:r>
            <w:r>
              <w:rPr>
                <w:rFonts w:hint="eastAsia" w:ascii="仿宋" w:eastAsia="仿宋" w:cs="仿宋"/>
                <w:color w:val="000000"/>
                <w:kern w:val="0"/>
                <w:sz w:val="32"/>
                <w:szCs w:val="32"/>
                <w:lang w:val="en-US" w:eastAsia="zh-CN"/>
              </w:rPr>
              <w:br w:type="textWrapping"/>
            </w:r>
            <w:r>
              <w:rPr>
                <w:rFonts w:hint="eastAsia" w:ascii="仿宋" w:eastAsia="仿宋" w:cs="仿宋"/>
                <w:color w:val="000000"/>
                <w:kern w:val="0"/>
                <w:sz w:val="32"/>
                <w:szCs w:val="32"/>
                <w:lang w:val="en-US" w:eastAsia="zh-CN"/>
              </w:rPr>
              <w:t>结果</w:t>
            </w:r>
          </w:p>
        </w:tc>
        <w:tc>
          <w:tcPr>
            <w:tcW w:w="651"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尚未</w:t>
            </w:r>
            <w:r>
              <w:rPr>
                <w:rFonts w:hint="eastAsia" w:ascii="仿宋" w:eastAsia="仿宋" w:cs="仿宋"/>
                <w:kern w:val="0"/>
                <w:sz w:val="32"/>
                <w:szCs w:val="32"/>
                <w:lang w:val="en-US" w:eastAsia="zh-CN"/>
              </w:rPr>
              <w:br w:type="textWrapping"/>
            </w:r>
            <w:r>
              <w:rPr>
                <w:rFonts w:hint="eastAsia" w:ascii="仿宋" w:eastAsia="仿宋" w:cs="仿宋"/>
                <w:kern w:val="0"/>
                <w:sz w:val="32"/>
                <w:szCs w:val="32"/>
                <w:lang w:val="en-US" w:eastAsia="zh-CN"/>
              </w:rPr>
              <w:t>审结</w:t>
            </w:r>
          </w:p>
        </w:tc>
        <w:tc>
          <w:tcPr>
            <w:tcW w:w="656"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color w:val="000000"/>
                <w:kern w:val="0"/>
                <w:sz w:val="32"/>
                <w:szCs w:val="32"/>
                <w:lang w:val="en-US" w:eastAsia="zh-CN"/>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1" w:hRule="atLeast"/>
          <w:jc w:val="center"/>
        </w:trPr>
        <w:tc>
          <w:tcPr>
            <w:tcW w:w="649"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仿宋" w:eastAsia="仿宋" w:cs="仿宋"/>
                <w:sz w:val="32"/>
                <w:szCs w:val="32"/>
                <w:lang w:val="en-US"/>
              </w:rPr>
            </w:pPr>
            <w:r>
              <w:rPr>
                <w:rFonts w:hint="eastAsia" w:ascii="仿宋" w:eastAsia="仿宋" w:cs="仿宋"/>
                <w:kern w:val="0"/>
                <w:sz w:val="32"/>
                <w:szCs w:val="32"/>
                <w:lang w:val="en-US" w:eastAsia="zh-CN"/>
              </w:rPr>
              <w:t>0</w:t>
            </w:r>
          </w:p>
        </w:tc>
        <w:tc>
          <w:tcPr>
            <w:tcW w:w="649"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仿宋" w:eastAsia="仿宋" w:cs="仿宋"/>
                <w:sz w:val="32"/>
                <w:szCs w:val="32"/>
                <w:lang w:val="en-US"/>
              </w:rPr>
            </w:pPr>
            <w:r>
              <w:rPr>
                <w:rFonts w:hint="eastAsia" w:ascii="仿宋" w:eastAsia="仿宋" w:cs="仿宋"/>
                <w:kern w:val="0"/>
                <w:sz w:val="32"/>
                <w:szCs w:val="32"/>
                <w:lang w:val="en-US" w:eastAsia="zh-CN"/>
              </w:rPr>
              <w:t>0</w:t>
            </w:r>
          </w:p>
        </w:tc>
        <w:tc>
          <w:tcPr>
            <w:tcW w:w="649"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仿宋" w:eastAsia="仿宋" w:cs="仿宋"/>
                <w:sz w:val="32"/>
                <w:szCs w:val="32"/>
                <w:lang w:val="en-US"/>
              </w:rPr>
            </w:pPr>
            <w:r>
              <w:rPr>
                <w:rFonts w:hint="eastAsia" w:ascii="仿宋" w:eastAsia="仿宋" w:cs="仿宋"/>
                <w:kern w:val="0"/>
                <w:sz w:val="32"/>
                <w:szCs w:val="32"/>
                <w:lang w:val="en-US" w:eastAsia="zh-CN"/>
              </w:rPr>
              <w:t>0</w:t>
            </w:r>
          </w:p>
        </w:tc>
        <w:tc>
          <w:tcPr>
            <w:tcW w:w="649"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0</w:t>
            </w:r>
          </w:p>
        </w:tc>
        <w:tc>
          <w:tcPr>
            <w:tcW w:w="652"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0</w:t>
            </w:r>
          </w:p>
        </w:tc>
        <w:tc>
          <w:tcPr>
            <w:tcW w:w="649"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0</w:t>
            </w:r>
          </w:p>
        </w:tc>
        <w:tc>
          <w:tcPr>
            <w:tcW w:w="649"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0</w:t>
            </w:r>
          </w:p>
        </w:tc>
        <w:tc>
          <w:tcPr>
            <w:tcW w:w="650"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0</w:t>
            </w:r>
          </w:p>
        </w:tc>
        <w:tc>
          <w:tcPr>
            <w:tcW w:w="650"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0</w:t>
            </w:r>
          </w:p>
        </w:tc>
        <w:tc>
          <w:tcPr>
            <w:tcW w:w="65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0</w:t>
            </w:r>
          </w:p>
        </w:tc>
        <w:tc>
          <w:tcPr>
            <w:tcW w:w="651"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0</w:t>
            </w:r>
          </w:p>
        </w:tc>
        <w:tc>
          <w:tcPr>
            <w:tcW w:w="651"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0</w:t>
            </w:r>
          </w:p>
        </w:tc>
        <w:tc>
          <w:tcPr>
            <w:tcW w:w="651"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0</w:t>
            </w:r>
          </w:p>
        </w:tc>
        <w:tc>
          <w:tcPr>
            <w:tcW w:w="651"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eastAsia="仿宋" w:cs="仿宋"/>
                <w:sz w:val="32"/>
                <w:szCs w:val="32"/>
              </w:rPr>
            </w:pPr>
            <w:r>
              <w:rPr>
                <w:rFonts w:hint="eastAsia" w:ascii="仿宋" w:eastAsia="仿宋" w:cs="仿宋"/>
                <w:kern w:val="0"/>
                <w:sz w:val="32"/>
                <w:szCs w:val="32"/>
                <w:lang w:val="en-US" w:eastAsia="zh-CN"/>
              </w:rPr>
              <w:t>0</w:t>
            </w:r>
          </w:p>
        </w:tc>
        <w:tc>
          <w:tcPr>
            <w:tcW w:w="656"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0</w:t>
            </w:r>
          </w:p>
        </w:tc>
      </w:tr>
    </w:tbl>
    <w:p>
      <w:pPr>
        <w:ind w:firstLine="640" w:firstLineChars="200"/>
        <w:rPr>
          <w:rFonts w:ascii="仿宋" w:hAnsi="仿宋" w:eastAsia="仿宋_GB2312" w:cs="仿宋_GB2312"/>
          <w:color w:val="000000"/>
          <w:sz w:val="32"/>
          <w:szCs w:val="32"/>
        </w:rPr>
      </w:pPr>
      <w:r>
        <w:rPr>
          <w:rFonts w:hint="eastAsia" w:ascii="黑体" w:eastAsia="黑体" w:cs="仿宋_GB2312"/>
          <w:color w:val="000000"/>
          <w:sz w:val="32"/>
          <w:szCs w:val="32"/>
        </w:rPr>
        <w:t>五、存在的主要问题及改进情况</w:t>
      </w:r>
      <w:r>
        <w:rPr>
          <w:rFonts w:hint="eastAsia" w:ascii="黑体" w:eastAsia="黑体" w:cs="仿宋_GB2312"/>
          <w:color w:val="000000"/>
          <w:sz w:val="32"/>
          <w:szCs w:val="32"/>
        </w:rPr>
        <w:br w:type="textWrapping"/>
      </w:r>
      <w:r>
        <w:rPr>
          <w:rFonts w:hint="eastAsia" w:ascii="黑体" w:eastAsia="黑体" w:cs="仿宋_GB2312"/>
          <w:color w:val="000000"/>
          <w:sz w:val="32"/>
          <w:szCs w:val="32"/>
          <w:lang w:val="en-US" w:eastAsia="zh-CN"/>
        </w:rPr>
        <w:t xml:space="preserve">  </w:t>
      </w:r>
      <w:r>
        <w:rPr>
          <w:rFonts w:hint="eastAsia"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年，我办政府信息公开工作虽然取得了有一定的成绩，但仍存在一些不足，</w:t>
      </w:r>
      <w:r>
        <w:rPr>
          <w:rFonts w:hint="eastAsia" w:ascii="仿宋_GB2312" w:eastAsia="仿宋_GB2312" w:cs="仿宋_GB2312"/>
          <w:b/>
          <w:bCs/>
          <w:color w:val="000000"/>
          <w:sz w:val="32"/>
          <w:szCs w:val="32"/>
          <w:lang w:eastAsia="zh-CN"/>
        </w:rPr>
        <w:t>一是</w:t>
      </w:r>
      <w:r>
        <w:rPr>
          <w:rFonts w:hint="eastAsia" w:ascii="仿宋_GB2312" w:eastAsia="仿宋_GB2312" w:cs="仿宋_GB2312"/>
          <w:color w:val="000000"/>
          <w:sz w:val="32"/>
          <w:szCs w:val="32"/>
          <w:lang w:eastAsia="zh-CN"/>
        </w:rPr>
        <w:t>需要进一步增强主动公开意识，对涉及公众利益，需要公众广泛知晓或者需要公众参与与决策的政府信息未能做到应公开尽公开。</w:t>
      </w:r>
      <w:r>
        <w:rPr>
          <w:rFonts w:hint="eastAsia" w:ascii="仿宋_GB2312" w:eastAsia="仿宋_GB2312" w:cs="仿宋_GB2312"/>
          <w:b/>
          <w:bCs/>
          <w:color w:val="000000"/>
          <w:sz w:val="32"/>
          <w:szCs w:val="32"/>
        </w:rPr>
        <w:t>二是</w:t>
      </w:r>
      <w:r>
        <w:rPr>
          <w:rFonts w:hint="eastAsia" w:ascii="仿宋_GB2312" w:eastAsia="仿宋_GB2312" w:cs="仿宋_GB2312"/>
          <w:color w:val="000000"/>
          <w:sz w:val="32"/>
          <w:szCs w:val="32"/>
        </w:rPr>
        <w:t>乡（镇）对政府信息公开的</w:t>
      </w:r>
      <w:r>
        <w:rPr>
          <w:rFonts w:hint="eastAsia" w:ascii="仿宋_GB2312" w:hAnsi="仿宋_GB2312" w:eastAsia="仿宋_GB2312" w:cs="仿宋_GB2312"/>
          <w:sz w:val="32"/>
          <w:szCs w:val="32"/>
          <w:lang w:val="en-US" w:eastAsia="zh-CN"/>
        </w:rPr>
        <w:t>公开内容不够全面、公开内容不够及时、对部分政策解读不够深入的问题</w:t>
      </w:r>
      <w:r>
        <w:rPr>
          <w:rFonts w:hint="eastAsia" w:ascii="仿宋_GB2312" w:eastAsia="仿宋_GB2312" w:cs="仿宋_GB2312"/>
          <w:color w:val="000000"/>
          <w:sz w:val="32"/>
          <w:szCs w:val="32"/>
        </w:rPr>
        <w:t>。</w:t>
      </w:r>
      <w:r>
        <w:rPr>
          <w:rFonts w:ascii="仿宋" w:hAnsi="仿宋" w:eastAsia="仿宋_GB2312" w:cs="仿宋_GB2312"/>
          <w:color w:val="000000"/>
          <w:sz w:val="32"/>
          <w:szCs w:val="32"/>
        </w:rPr>
        <w:t> </w:t>
      </w:r>
    </w:p>
    <w:p>
      <w:pPr>
        <w:keepNext w:val="0"/>
        <w:keepLines w:val="0"/>
        <w:pageBreakBefore w:val="0"/>
        <w:widowControl w:val="0"/>
        <w:kinsoku/>
        <w:wordWrap/>
        <w:overflowPunct/>
        <w:topLinePunct w:val="0"/>
        <w:autoSpaceDE/>
        <w:autoSpaceDN/>
        <w:adjustRightInd/>
        <w:snapToGrid/>
        <w:spacing w:line="600" w:lineRule="exact"/>
        <w:ind w:firstLine="642" w:firstLineChars="200"/>
        <w:rPr>
          <w:rFonts w:ascii="仿宋_GB2312" w:eastAsia="仿宋_GB2312" w:cs="仿宋"/>
          <w:sz w:val="32"/>
          <w:szCs w:val="32"/>
          <w:lang w:val="en-US" w:eastAsia="zh-CN" w:bidi="ar-SA"/>
        </w:rPr>
      </w:pPr>
      <w:r>
        <w:rPr>
          <w:rFonts w:hint="eastAsia" w:ascii="仿宋_GB2312" w:eastAsia="仿宋_GB2312" w:cs="仿宋_GB2312"/>
          <w:b/>
          <w:bCs/>
          <w:color w:val="000000"/>
          <w:sz w:val="32"/>
          <w:szCs w:val="32"/>
        </w:rPr>
        <w:t>下一步，</w:t>
      </w:r>
      <w:r>
        <w:rPr>
          <w:rFonts w:hint="eastAsia" w:ascii="仿宋_GB2312" w:eastAsia="仿宋_GB2312" w:cs="仿宋_GB2312"/>
          <w:color w:val="000000"/>
          <w:sz w:val="32"/>
          <w:szCs w:val="32"/>
        </w:rPr>
        <w:t>我办继续认真贯彻落实上级有关文件精神，持续加强提升政府信息公开的质量和实效。</w:t>
      </w:r>
      <w:r>
        <w:rPr>
          <w:rFonts w:hint="eastAsia" w:ascii="仿宋_GB2312" w:eastAsia="仿宋_GB2312" w:cs="仿宋_GB2312"/>
          <w:b/>
          <w:bCs/>
          <w:color w:val="000000"/>
          <w:sz w:val="32"/>
          <w:szCs w:val="32"/>
        </w:rPr>
        <w:t>一是</w:t>
      </w:r>
      <w:r>
        <w:rPr>
          <w:rFonts w:hint="eastAsia" w:ascii="仿宋_GB2312" w:eastAsia="仿宋_GB2312" w:cs="仿宋_GB2312"/>
          <w:color w:val="000000"/>
          <w:sz w:val="32"/>
          <w:szCs w:val="32"/>
          <w:lang w:val="en-US" w:eastAsia="zh-CN"/>
        </w:rPr>
        <w:t>高度重政策解读发布的及时性和准确性，</w:t>
      </w:r>
      <w:r>
        <w:rPr>
          <w:rFonts w:hint="eastAsia" w:ascii="仿宋_GB2312" w:eastAsia="仿宋_GB2312" w:cs="仿宋_GB2312"/>
          <w:color w:val="000000"/>
          <w:sz w:val="32"/>
          <w:szCs w:val="32"/>
          <w:lang w:val="en-US" w:eastAsia="zh-CN" w:bidi="ar-SA"/>
        </w:rPr>
        <w:t>按照“谁起草谁解读”的原则，认真组织做好政策解读，</w:t>
      </w:r>
      <w:r>
        <w:rPr>
          <w:rFonts w:ascii="仿宋_GB2312" w:eastAsia="仿宋_GB2312" w:cs="仿宋_GB2312"/>
          <w:color w:val="000000"/>
          <w:sz w:val="32"/>
          <w:szCs w:val="32"/>
          <w:lang w:val="en-US" w:eastAsia="zh-CN" w:bidi="ar-SA"/>
        </w:rPr>
        <w:t>及时</w:t>
      </w:r>
      <w:r>
        <w:rPr>
          <w:rFonts w:hint="eastAsia" w:ascii="仿宋_GB2312" w:eastAsia="仿宋_GB2312" w:cs="仿宋_GB2312"/>
          <w:color w:val="000000"/>
          <w:sz w:val="32"/>
          <w:szCs w:val="32"/>
          <w:lang w:val="en-US" w:eastAsia="zh-CN" w:bidi="ar-SA"/>
        </w:rPr>
        <w:t>发布至政府网站“政策解读”栏目</w:t>
      </w:r>
      <w:r>
        <w:rPr>
          <w:rFonts w:hint="eastAsia" w:ascii="仿宋_GB2312" w:eastAsia="仿宋_GB2312" w:cs="仿宋"/>
          <w:sz w:val="32"/>
          <w:szCs w:val="32"/>
          <w:lang w:val="en-US" w:eastAsia="zh-CN" w:bidi="ar-SA"/>
        </w:rPr>
        <w:t>。</w:t>
      </w:r>
      <w:r>
        <w:rPr>
          <w:rFonts w:hint="eastAsia" w:ascii="仿宋_GB2312" w:eastAsia="仿宋_GB2312" w:cs="仿宋"/>
          <w:b/>
          <w:bCs/>
          <w:sz w:val="32"/>
          <w:szCs w:val="32"/>
          <w:lang w:val="en-US" w:eastAsia="zh-CN" w:bidi="ar-SA"/>
        </w:rPr>
        <w:t>二是</w:t>
      </w:r>
      <w:r>
        <w:rPr>
          <w:rFonts w:hint="eastAsia" w:ascii="仿宋_GB2312" w:eastAsia="仿宋_GB2312" w:cs="仿宋"/>
          <w:sz w:val="32"/>
          <w:szCs w:val="32"/>
          <w:lang w:val="en-US" w:eastAsia="zh-CN" w:bidi="ar-SA"/>
        </w:rPr>
        <w:t>加强</w:t>
      </w:r>
      <w:r>
        <w:rPr>
          <w:rFonts w:ascii="仿宋_GB2312" w:eastAsia="仿宋_GB2312" w:cs="仿宋"/>
          <w:sz w:val="32"/>
          <w:szCs w:val="32"/>
        </w:rPr>
        <w:t>政务公开业务培训，特别是多角度、多渠道的推动乡（镇）从业人员的专业素能提升，不断</w:t>
      </w:r>
      <w:r>
        <w:rPr>
          <w:rFonts w:hint="eastAsia" w:ascii="仿宋_GB2312" w:eastAsia="仿宋_GB2312" w:cs="仿宋"/>
          <w:sz w:val="32"/>
          <w:szCs w:val="32"/>
          <w:lang w:val="en-US" w:eastAsia="zh-CN" w:bidi="ar-SA"/>
        </w:rPr>
        <w:t>促进政府信息与政务公开工作更加规范、更加高效。</w:t>
      </w:r>
    </w:p>
    <w:p>
      <w:pPr>
        <w:keepNext w:val="0"/>
        <w:keepLines w:val="0"/>
        <w:pageBreakBefore w:val="0"/>
        <w:widowControl w:val="0"/>
        <w:kinsoku/>
        <w:wordWrap/>
        <w:overflowPunct/>
        <w:topLinePunct w:val="0"/>
        <w:autoSpaceDE/>
        <w:autoSpaceDN/>
        <w:adjustRightInd/>
        <w:snapToGrid/>
        <w:spacing w:line="600" w:lineRule="exact"/>
        <w:ind w:firstLine="640" w:firstLineChars="200"/>
        <w:rPr>
          <w:rFonts w:hint="eastAsia" w:ascii="黑体" w:eastAsia="黑体" w:cs="仿宋"/>
          <w:sz w:val="32"/>
          <w:szCs w:val="32"/>
          <w:lang w:val="en-US" w:eastAsia="zh-CN" w:bidi="ar-SA"/>
        </w:rPr>
      </w:pPr>
      <w:r>
        <w:rPr>
          <w:rFonts w:hint="eastAsia" w:ascii="黑体" w:eastAsia="黑体" w:cs="仿宋"/>
          <w:sz w:val="32"/>
          <w:szCs w:val="32"/>
          <w:lang w:val="en-US" w:eastAsia="zh-CN" w:bidi="ar-SA"/>
        </w:rPr>
        <w:t>六、其他需要报告的事项</w:t>
      </w:r>
    </w:p>
    <w:p>
      <w:pPr>
        <w:keepNext w:val="0"/>
        <w:keepLines w:val="0"/>
        <w:pageBreakBefore w:val="0"/>
        <w:widowControl w:val="0"/>
        <w:kinsoku/>
        <w:wordWrap/>
        <w:overflowPunct/>
        <w:topLinePunct w:val="0"/>
        <w:autoSpaceDE/>
        <w:autoSpaceDN/>
        <w:adjustRightInd/>
        <w:snapToGrid/>
        <w:spacing w:line="600" w:lineRule="exact"/>
        <w:ind w:firstLine="640" w:firstLineChars="200"/>
        <w:rPr>
          <w:rFonts w:hint="eastAsia" w:ascii="仿宋_GB2312" w:eastAsia="仿宋_GB2312" w:cs="仿宋"/>
          <w:sz w:val="32"/>
          <w:szCs w:val="32"/>
          <w:lang w:val="en-US" w:eastAsia="zh-CN" w:bidi="ar-SA"/>
        </w:rPr>
      </w:pPr>
      <w:r>
        <w:rPr>
          <w:rFonts w:hint="eastAsia" w:ascii="仿宋_GB2312" w:eastAsia="仿宋_GB2312" w:cs="仿宋"/>
          <w:sz w:val="32"/>
          <w:szCs w:val="32"/>
          <w:lang w:val="en-US" w:eastAsia="zh-CN" w:bidi="ar-SA"/>
        </w:rPr>
        <w:t>无。</w:t>
      </w:r>
    </w:p>
    <w:p>
      <w:pPr>
        <w:keepNext w:val="0"/>
        <w:keepLines w:val="0"/>
        <w:pageBreakBefore w:val="0"/>
        <w:widowControl w:val="0"/>
        <w:kinsoku/>
        <w:wordWrap/>
        <w:overflowPunct/>
        <w:topLinePunct w:val="0"/>
        <w:autoSpaceDE/>
        <w:autoSpaceDN/>
        <w:adjustRightInd/>
        <w:snapToGrid/>
        <w:spacing w:line="600" w:lineRule="exact"/>
        <w:ind w:firstLine="640" w:firstLineChars="200"/>
        <w:rPr>
          <w:rFonts w:ascii="仿宋" w:eastAsia="仿宋" w:cs="仿宋"/>
          <w:sz w:val="32"/>
          <w:szCs w:val="32"/>
          <w:lang w:val="en-US" w:eastAsia="zh-CN" w:bidi="ar-SA"/>
        </w:rPr>
      </w:pPr>
    </w:p>
    <w:p>
      <w:pPr>
        <w:keepNext w:val="0"/>
        <w:keepLines w:val="0"/>
        <w:pageBreakBefore w:val="0"/>
        <w:widowControl w:val="0"/>
        <w:kinsoku/>
        <w:wordWrap/>
        <w:overflowPunct/>
        <w:topLinePunct w:val="0"/>
        <w:autoSpaceDE/>
        <w:autoSpaceDN/>
        <w:adjustRightInd/>
        <w:snapToGrid/>
        <w:spacing w:line="600" w:lineRule="exact"/>
        <w:ind w:firstLine="640" w:firstLineChars="200"/>
        <w:rPr>
          <w:rFonts w:ascii="仿宋" w:eastAsia="仿宋" w:cs="仿宋"/>
          <w:sz w:val="32"/>
          <w:szCs w:val="32"/>
          <w:lang w:val="en-US" w:eastAsia="zh-CN" w:bidi="ar-SA"/>
        </w:rPr>
      </w:pPr>
    </w:p>
    <w:p>
      <w:pPr>
        <w:keepNext w:val="0"/>
        <w:keepLines w:val="0"/>
        <w:pageBreakBefore w:val="0"/>
        <w:widowControl w:val="0"/>
        <w:kinsoku/>
        <w:wordWrap/>
        <w:overflowPunct/>
        <w:topLinePunct w:val="0"/>
        <w:autoSpaceDE/>
        <w:autoSpaceDN/>
        <w:adjustRightInd/>
        <w:snapToGrid/>
        <w:spacing w:line="600" w:lineRule="exact"/>
        <w:ind w:firstLine="4800" w:firstLineChars="1500"/>
        <w:rPr>
          <w:rFonts w:ascii="仿宋" w:eastAsia="仿宋" w:cs="仿宋"/>
          <w:sz w:val="32"/>
          <w:szCs w:val="32"/>
          <w:lang w:val="en-US" w:eastAsia="zh-CN" w:bidi="ar-SA"/>
        </w:rPr>
      </w:pPr>
      <w:r>
        <w:rPr>
          <w:rFonts w:ascii="仿宋" w:eastAsia="仿宋" w:cs="仿宋"/>
          <w:sz w:val="32"/>
          <w:szCs w:val="32"/>
          <w:lang w:val="en-US" w:eastAsia="zh-CN" w:bidi="ar-SA"/>
        </w:rPr>
        <w:t>五寨县人民政府办公室</w:t>
      </w:r>
    </w:p>
    <w:p>
      <w:pPr>
        <w:keepNext w:val="0"/>
        <w:keepLines w:val="0"/>
        <w:pageBreakBefore w:val="0"/>
        <w:widowControl w:val="0"/>
        <w:kinsoku/>
        <w:wordWrap/>
        <w:overflowPunct/>
        <w:topLinePunct w:val="0"/>
        <w:autoSpaceDE/>
        <w:autoSpaceDN/>
        <w:adjustRightInd/>
        <w:snapToGrid/>
        <w:spacing w:line="600" w:lineRule="exact"/>
        <w:ind w:firstLine="5120" w:firstLineChars="1600"/>
        <w:rPr>
          <w:rFonts w:ascii="仿宋" w:eastAsia="仿宋" w:cs="仿宋"/>
          <w:b w:val="0"/>
          <w:bCs w:val="0"/>
          <w:i w:val="0"/>
          <w:iCs w:val="0"/>
          <w:caps w:val="0"/>
          <w:smallCaps w:val="0"/>
          <w:color w:val="333333"/>
          <w:spacing w:val="0"/>
          <w:sz w:val="32"/>
          <w:szCs w:val="32"/>
          <w:shd w:val="clear" w:color="auto" w:fill="FFFFFF"/>
          <w:lang w:val="en-US" w:eastAsia="zh-CN"/>
        </w:rPr>
      </w:pPr>
      <w:r>
        <w:rPr>
          <w:rFonts w:ascii="仿宋" w:eastAsia="仿宋" w:cs="仿宋"/>
          <w:sz w:val="32"/>
          <w:szCs w:val="32"/>
          <w:lang w:val="en-US" w:eastAsia="zh-CN" w:bidi="ar-SA"/>
        </w:rPr>
        <w:t>202</w:t>
      </w:r>
      <w:r>
        <w:rPr>
          <w:rFonts w:hint="eastAsia" w:ascii="仿宋" w:eastAsia="仿宋" w:cs="仿宋"/>
          <w:sz w:val="32"/>
          <w:szCs w:val="32"/>
          <w:lang w:val="en-US" w:eastAsia="zh-CN" w:bidi="ar-SA"/>
        </w:rPr>
        <w:t>5</w:t>
      </w:r>
      <w:r>
        <w:rPr>
          <w:rFonts w:ascii="仿宋" w:eastAsia="仿宋" w:cs="仿宋"/>
          <w:sz w:val="32"/>
          <w:szCs w:val="32"/>
          <w:lang w:val="en-US" w:eastAsia="zh-CN" w:bidi="ar-SA"/>
        </w:rPr>
        <w:t>年1月</w:t>
      </w:r>
      <w:r>
        <w:rPr>
          <w:rFonts w:hint="eastAsia" w:ascii="仿宋" w:eastAsia="仿宋" w:cs="仿宋"/>
          <w:sz w:val="32"/>
          <w:szCs w:val="32"/>
          <w:lang w:val="en-US" w:eastAsia="zh-CN" w:bidi="ar-SA"/>
        </w:rPr>
        <w:t>20</w:t>
      </w:r>
      <w:r>
        <w:rPr>
          <w:rFonts w:ascii="仿宋" w:eastAsia="仿宋" w:cs="仿宋"/>
          <w:sz w:val="32"/>
          <w:szCs w:val="32"/>
          <w:lang w:val="en-US" w:eastAsia="zh-CN" w:bidi="ar-SA"/>
        </w:rPr>
        <w:t>日</w:t>
      </w:r>
    </w:p>
    <w:sectPr>
      <w:pgSz w:w="11907" w:h="16840"/>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Ubuntu">
    <w:panose1 w:val="020B0504030602030204"/>
    <w:charset w:val="00"/>
    <w:family w:val="auto"/>
    <w:pitch w:val="default"/>
    <w:sig w:usb0="E00002FF" w:usb1="5000205B" w:usb2="00000000" w:usb3="00000000" w:csb0="2000009F" w:csb1="5601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3FFF6220"/>
    <w:rsid w:val="5EFBD55B"/>
    <w:rsid w:val="72FF4B9C"/>
    <w:rsid w:val="7F4C431B"/>
    <w:rsid w:val="7FC68B1F"/>
    <w:rsid w:val="904F232F"/>
    <w:rsid w:val="EFBB5A09"/>
    <w:rsid w:val="FDCFED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kern w:val="44"/>
      <w:sz w:val="44"/>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rPr>
  </w:style>
  <w:style w:type="character" w:styleId="8">
    <w:name w:val="Strong"/>
    <w:basedOn w:val="7"/>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永中软件股份有限公司</Company>
  <Pages>8</Pages>
  <Words>2248</Words>
  <Characters>2335</Characters>
  <Lines>442</Lines>
  <Paragraphs>302</Paragraphs>
  <TotalTime>8</TotalTime>
  <ScaleCrop>false</ScaleCrop>
  <LinksUpToDate>false</LinksUpToDate>
  <CharactersWithSpaces>2350</CharactersWithSpaces>
  <Application>WPS Office_11.8.2.1132_F1E327BC-269C-435d-A152-05C5408002CA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2010-09-09T14:51:00Z</dcterms:created>
  <dc:creator>kylin</dc:creator>
  <cp:lastModifiedBy>kylin</cp:lastModifiedBy>
  <cp:lastPrinted>2023-01-30T10:12:00Z</cp:lastPrinted>
  <dcterms:modified xsi:type="dcterms:W3CDTF">2025-01-23T10:05:23Z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2D73D226A67C5309E3A391675C6A4B57</vt:lpwstr>
  </property>
</Properties>
</file>