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：</w:t>
      </w:r>
    </w:p>
    <w:p>
      <w:pPr>
        <w:spacing w:line="60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中秋国庆节期间安全生产检查工作进展情况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统计</w:t>
      </w:r>
      <w:r>
        <w:rPr>
          <w:rFonts w:hint="eastAsia" w:ascii="方正小标宋简体" w:eastAsia="方正小标宋简体"/>
          <w:sz w:val="40"/>
          <w:szCs w:val="40"/>
        </w:rPr>
        <w:t>表</w:t>
      </w:r>
    </w:p>
    <w:tbl>
      <w:tblPr>
        <w:tblStyle w:val="6"/>
        <w:tblpPr w:leftFromText="180" w:rightFromText="180" w:vertAnchor="text" w:horzAnchor="page" w:tblpX="1651" w:tblpY="719"/>
        <w:tblOverlap w:val="never"/>
        <w:tblW w:w="51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82"/>
        <w:gridCol w:w="882"/>
        <w:gridCol w:w="862"/>
        <w:gridCol w:w="512"/>
        <w:gridCol w:w="231"/>
        <w:gridCol w:w="1030"/>
        <w:gridCol w:w="972"/>
        <w:gridCol w:w="228"/>
        <w:gridCol w:w="827"/>
        <w:gridCol w:w="1125"/>
        <w:gridCol w:w="1197"/>
        <w:gridCol w:w="659"/>
        <w:gridCol w:w="38"/>
        <w:gridCol w:w="772"/>
        <w:gridCol w:w="897"/>
        <w:gridCol w:w="865"/>
        <w:gridCol w:w="570"/>
        <w:gridCol w:w="292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3331" w:type="pct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安全生产</w:t>
            </w:r>
            <w:r>
              <w:rPr>
                <w:rFonts w:hint="eastAsia" w:ascii="楷体_GB2312" w:hAnsi="黑体" w:eastAsia="楷体_GB2312" w:cs="黑体"/>
                <w:sz w:val="24"/>
                <w:szCs w:val="24"/>
                <w:lang w:eastAsia="zh-CN"/>
              </w:rPr>
              <w:t>检</w:t>
            </w: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查检查情况</w:t>
            </w:r>
          </w:p>
        </w:tc>
        <w:tc>
          <w:tcPr>
            <w:tcW w:w="1668" w:type="pct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执法处罚情况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306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黑体" w:eastAsia="楷体_GB2312" w:cs="黑体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30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检查组</w:t>
            </w:r>
          </w:p>
        </w:tc>
        <w:tc>
          <w:tcPr>
            <w:tcW w:w="30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ascii="楷体_GB2312" w:hAnsi="黑体" w:eastAsia="楷体_GB2312" w:cs="黑体"/>
                <w:sz w:val="24"/>
                <w:szCs w:val="24"/>
              </w:rPr>
              <w:t>检查组人数</w:t>
            </w:r>
          </w:p>
        </w:tc>
        <w:tc>
          <w:tcPr>
            <w:tcW w:w="298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检查</w:t>
            </w:r>
          </w:p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企业</w:t>
            </w:r>
          </w:p>
        </w:tc>
        <w:tc>
          <w:tcPr>
            <w:tcW w:w="1028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一般隐患</w:t>
            </w:r>
          </w:p>
        </w:tc>
        <w:tc>
          <w:tcPr>
            <w:tcW w:w="1085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重大隐患</w:t>
            </w:r>
          </w:p>
        </w:tc>
        <w:tc>
          <w:tcPr>
            <w:tcW w:w="241" w:type="pct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ascii="楷体_GB2312" w:hAnsi="黑体" w:eastAsia="楷体_GB2312" w:cs="黑体"/>
                <w:sz w:val="24"/>
                <w:szCs w:val="24"/>
              </w:rPr>
              <w:t>下达执法文书</w:t>
            </w:r>
          </w:p>
        </w:tc>
        <w:tc>
          <w:tcPr>
            <w:tcW w:w="267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责令限期改正</w:t>
            </w:r>
          </w:p>
        </w:tc>
        <w:tc>
          <w:tcPr>
            <w:tcW w:w="310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停产</w:t>
            </w:r>
          </w:p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整顿</w:t>
            </w:r>
          </w:p>
        </w:tc>
        <w:tc>
          <w:tcPr>
            <w:tcW w:w="29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处罚</w:t>
            </w:r>
          </w:p>
        </w:tc>
        <w:tc>
          <w:tcPr>
            <w:tcW w:w="298" w:type="pct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暂扣吊销证照</w:t>
            </w:r>
          </w:p>
        </w:tc>
        <w:tc>
          <w:tcPr>
            <w:tcW w:w="25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关闭</w:t>
            </w:r>
          </w:p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取缔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306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</w:p>
        </w:tc>
        <w:tc>
          <w:tcPr>
            <w:tcW w:w="305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</w:p>
        </w:tc>
        <w:tc>
          <w:tcPr>
            <w:tcW w:w="305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</w:p>
        </w:tc>
        <w:tc>
          <w:tcPr>
            <w:tcW w:w="298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排查</w:t>
            </w:r>
          </w:p>
        </w:tc>
        <w:tc>
          <w:tcPr>
            <w:tcW w:w="3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整改</w:t>
            </w:r>
          </w:p>
        </w:tc>
        <w:tc>
          <w:tcPr>
            <w:tcW w:w="41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未整改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排查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整改</w:t>
            </w:r>
          </w:p>
        </w:tc>
        <w:tc>
          <w:tcPr>
            <w:tcW w:w="4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未整改</w:t>
            </w:r>
          </w:p>
        </w:tc>
        <w:tc>
          <w:tcPr>
            <w:tcW w:w="241" w:type="pct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8"/>
                <w:szCs w:val="28"/>
              </w:rPr>
            </w:pPr>
          </w:p>
        </w:tc>
        <w:tc>
          <w:tcPr>
            <w:tcW w:w="267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8"/>
                <w:szCs w:val="28"/>
              </w:rPr>
            </w:pPr>
          </w:p>
        </w:tc>
        <w:tc>
          <w:tcPr>
            <w:tcW w:w="310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8"/>
                <w:szCs w:val="28"/>
              </w:rPr>
            </w:pPr>
          </w:p>
        </w:tc>
        <w:tc>
          <w:tcPr>
            <w:tcW w:w="299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8"/>
                <w:szCs w:val="28"/>
              </w:rPr>
            </w:pPr>
          </w:p>
        </w:tc>
        <w:tc>
          <w:tcPr>
            <w:tcW w:w="251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6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</w:pPr>
          </w:p>
        </w:tc>
        <w:tc>
          <w:tcPr>
            <w:tcW w:w="3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（个）</w:t>
            </w:r>
          </w:p>
        </w:tc>
        <w:tc>
          <w:tcPr>
            <w:tcW w:w="3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</w:t>
            </w:r>
            <w:r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  <w:t>人</w:t>
            </w: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）</w:t>
            </w:r>
          </w:p>
        </w:tc>
        <w:tc>
          <w:tcPr>
            <w:tcW w:w="2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（家）</w:t>
            </w:r>
          </w:p>
        </w:tc>
        <w:tc>
          <w:tcPr>
            <w:tcW w:w="25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（条）</w:t>
            </w:r>
          </w:p>
        </w:tc>
        <w:tc>
          <w:tcPr>
            <w:tcW w:w="3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（</w:t>
            </w: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条</w:t>
            </w: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）</w:t>
            </w:r>
          </w:p>
        </w:tc>
        <w:tc>
          <w:tcPr>
            <w:tcW w:w="41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（</w:t>
            </w: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条</w:t>
            </w:r>
            <w:r>
              <w:rPr>
                <w:rFonts w:hint="eastAsia" w:ascii="楷体_GB2312" w:hAnsi="黑体" w:eastAsia="楷体_GB2312" w:cs="黑体"/>
                <w:sz w:val="24"/>
                <w:szCs w:val="24"/>
              </w:rPr>
              <w:t>）</w:t>
            </w: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（条）</w:t>
            </w: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（条）</w:t>
            </w:r>
          </w:p>
        </w:tc>
        <w:tc>
          <w:tcPr>
            <w:tcW w:w="4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（条）</w:t>
            </w:r>
          </w:p>
        </w:tc>
        <w:tc>
          <w:tcPr>
            <w:tcW w:w="24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（份）</w:t>
            </w:r>
          </w:p>
        </w:tc>
        <w:tc>
          <w:tcPr>
            <w:tcW w:w="2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（家）</w:t>
            </w:r>
          </w:p>
        </w:tc>
        <w:tc>
          <w:tcPr>
            <w:tcW w:w="3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（家）</w:t>
            </w:r>
          </w:p>
        </w:tc>
        <w:tc>
          <w:tcPr>
            <w:tcW w:w="29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（万元）</w:t>
            </w:r>
          </w:p>
        </w:tc>
        <w:tc>
          <w:tcPr>
            <w:tcW w:w="29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（个）</w:t>
            </w: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黑体" w:eastAsia="楷体_GB2312" w:cs="黑体"/>
                <w:spacing w:val="-11"/>
                <w:sz w:val="24"/>
                <w:szCs w:val="24"/>
              </w:rPr>
            </w:pPr>
            <w:r>
              <w:rPr>
                <w:rFonts w:hint="eastAsia" w:ascii="楷体_GB2312" w:hAnsi="黑体" w:eastAsia="楷体_GB2312" w:cs="黑体"/>
                <w:spacing w:val="-11"/>
                <w:sz w:val="24"/>
                <w:szCs w:val="24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3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仿宋_GB2312" w:eastAsia="楷体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  <w:lang w:val="en-US" w:eastAsia="zh-CN"/>
              </w:rPr>
              <w:t>X月X日</w:t>
            </w:r>
          </w:p>
        </w:tc>
        <w:tc>
          <w:tcPr>
            <w:tcW w:w="3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4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3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  <w:lang w:val="en-US" w:eastAsia="zh-CN"/>
              </w:rPr>
              <w:t>X月X日</w:t>
            </w:r>
          </w:p>
        </w:tc>
        <w:tc>
          <w:tcPr>
            <w:tcW w:w="3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4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3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仿宋_GB2312" w:eastAsia="楷体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仿宋_GB2312" w:eastAsia="楷体_GB2312" w:cs="仿宋_GB2312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3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4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_GB2312" w:eastAsia="楷体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黑体" w:eastAsia="楷体_GB2312" w:cs="黑体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3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0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8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8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4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4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1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9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2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3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仿宋_GB2312" w:eastAsia="楷体_GB2312" w:cs="仿宋_GB2312"/>
                <w:sz w:val="24"/>
                <w:szCs w:val="24"/>
              </w:rPr>
            </w:pPr>
          </w:p>
        </w:tc>
        <w:tc>
          <w:tcPr>
            <w:tcW w:w="4693" w:type="pct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hint="eastAsia" w:ascii="楷体_GB2312" w:hAnsi="仿宋_GB2312" w:eastAsia="楷体_GB2312" w:cs="仿宋_GB2312"/>
                <w:sz w:val="24"/>
                <w:szCs w:val="24"/>
              </w:rPr>
              <w:t>停产整顿、暂扣吊销证照、关闭取缔和重大隐患情况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3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</w:p>
        </w:tc>
        <w:tc>
          <w:tcPr>
            <w:tcW w:w="1085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ascii="楷体_GB2312" w:hAnsi="仿宋_GB2312" w:eastAsia="楷体_GB2312" w:cs="仿宋_GB2312"/>
                <w:sz w:val="24"/>
                <w:szCs w:val="24"/>
              </w:rPr>
              <w:t>企业名称</w:t>
            </w:r>
          </w:p>
        </w:tc>
        <w:tc>
          <w:tcPr>
            <w:tcW w:w="772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ascii="楷体_GB2312" w:hAnsi="仿宋_GB2312" w:eastAsia="楷体_GB2312" w:cs="仿宋_GB2312"/>
                <w:sz w:val="24"/>
                <w:szCs w:val="24"/>
              </w:rPr>
              <w:t>地址</w:t>
            </w:r>
          </w:p>
        </w:tc>
        <w:tc>
          <w:tcPr>
            <w:tcW w:w="1390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ascii="楷体_GB2312" w:hAnsi="仿宋_GB2312" w:eastAsia="楷体_GB2312" w:cs="仿宋_GB2312"/>
                <w:sz w:val="24"/>
                <w:szCs w:val="24"/>
              </w:rPr>
              <w:t>情况描述</w:t>
            </w:r>
          </w:p>
        </w:tc>
        <w:tc>
          <w:tcPr>
            <w:tcW w:w="1086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ascii="楷体_GB2312" w:hAnsi="仿宋_GB2312" w:eastAsia="楷体_GB2312" w:cs="仿宋_GB2312"/>
                <w:sz w:val="24"/>
                <w:szCs w:val="24"/>
              </w:rPr>
              <w:t>处置措施</w:t>
            </w:r>
          </w:p>
        </w:tc>
        <w:tc>
          <w:tcPr>
            <w:tcW w:w="35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4"/>
                <w:szCs w:val="24"/>
              </w:rPr>
            </w:pPr>
            <w:r>
              <w:rPr>
                <w:rFonts w:ascii="楷体_GB2312" w:hAnsi="仿宋_GB2312" w:eastAsia="楷体_GB2312" w:cs="仿宋_GB2312"/>
                <w:sz w:val="24"/>
                <w:szCs w:val="24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085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72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390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086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30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085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772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390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1086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  <w:tc>
          <w:tcPr>
            <w:tcW w:w="357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sz w:val="28"/>
          <w:szCs w:val="28"/>
        </w:rPr>
        <w:t>填报单位：                                                             填报时间：</w:t>
      </w:r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1644" w:right="1440" w:bottom="1644" w:left="1440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altName w:val="楷体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"/>
    <w:panose1 w:val="020106090600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wT&#10;t6O2AQAAk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C&#10;fvB4twEAAJI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33C06"/>
    <w:rsid w:val="161B504E"/>
    <w:rsid w:val="16604F99"/>
    <w:rsid w:val="17D436D5"/>
    <w:rsid w:val="188B3A3B"/>
    <w:rsid w:val="19E830F8"/>
    <w:rsid w:val="1A4A2DA0"/>
    <w:rsid w:val="1AFC7207"/>
    <w:rsid w:val="1CDE4712"/>
    <w:rsid w:val="20410448"/>
    <w:rsid w:val="2C3E4D9D"/>
    <w:rsid w:val="2C41712D"/>
    <w:rsid w:val="2D1725DC"/>
    <w:rsid w:val="2F661FE6"/>
    <w:rsid w:val="3462761F"/>
    <w:rsid w:val="35BA0A3D"/>
    <w:rsid w:val="3C971031"/>
    <w:rsid w:val="3DB96AA5"/>
    <w:rsid w:val="3F153F8B"/>
    <w:rsid w:val="40212775"/>
    <w:rsid w:val="441A635D"/>
    <w:rsid w:val="477C7162"/>
    <w:rsid w:val="4DC11C01"/>
    <w:rsid w:val="516C0E9F"/>
    <w:rsid w:val="535B0141"/>
    <w:rsid w:val="57AC7A6B"/>
    <w:rsid w:val="5861082C"/>
    <w:rsid w:val="5D2853FA"/>
    <w:rsid w:val="61CA7578"/>
    <w:rsid w:val="63BA50B3"/>
    <w:rsid w:val="6DDF5BDB"/>
    <w:rsid w:val="71175F08"/>
    <w:rsid w:val="74D67F79"/>
    <w:rsid w:val="774E36F6"/>
    <w:rsid w:val="7C200948"/>
    <w:rsid w:val="7FB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1"/>
    <w:qFormat/>
    <w:uiPriority w:val="0"/>
    <w:rPr>
      <w:rFonts w:ascii="仿宋_GB2312" w:eastAsia="仿宋_GB2312"/>
      <w:sz w:val="32"/>
    </w:r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3628</Words>
  <Characters>3717</Characters>
  <Paragraphs>354</Paragraphs>
  <TotalTime>9</TotalTime>
  <ScaleCrop>false</ScaleCrop>
  <LinksUpToDate>false</LinksUpToDate>
  <CharactersWithSpaces>4002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2021-09-15T04:06:00Z</dcterms:created>
  <dc:creator>ajj</dc:creator>
  <cp:lastModifiedBy>会飞能打的宇Sir</cp:lastModifiedBy>
  <cp:lastPrinted>2021-09-17T07:56:00Z</cp:lastPrinted>
  <dcterms:modified xsi:type="dcterms:W3CDTF">2021-09-26T09:06:27Z</dcterms:modified>
  <dc:title>忻应急发〔2021〕148号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F399D4703DF244608C060D49B1365D51</vt:lpwstr>
  </property>
</Properties>
</file>